
<file path=[Content_Types].xml><?xml version="1.0" encoding="utf-8"?>
<Types xmlns="http://schemas.openxmlformats.org/package/2006/content-types">
  <Default Extension="jpeg" ContentType="image/jpeg"/>
  <Default Extension="JPG" ContentType="image/.jpg"/>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4589B86F">
      <w:pPr>
        <w:pStyle w:val="94"/>
        <w:adjustRightInd w:val="0"/>
        <w:snapToGrid w:val="0"/>
        <w:spacing w:line="360" w:lineRule="auto"/>
        <w:jc w:val="left"/>
        <w:rPr>
          <w:sz w:val="24"/>
          <w:szCs w:val="24"/>
        </w:rPr>
      </w:pPr>
      <w:r>
        <w:rPr>
          <w:sz w:val="24"/>
          <w:szCs w:val="24"/>
        </w:rPr>
        <w:drawing>
          <wp:anchor distT="0" distB="0" distL="114300" distR="114300" simplePos="0" relativeHeight="251659264" behindDoc="0" locked="0" layoutInCell="1" allowOverlap="1">
            <wp:simplePos x="0" y="0"/>
            <wp:positionH relativeFrom="column">
              <wp:posOffset>10795</wp:posOffset>
            </wp:positionH>
            <wp:positionV relativeFrom="paragraph">
              <wp:posOffset>-6350</wp:posOffset>
            </wp:positionV>
            <wp:extent cx="2548890" cy="889000"/>
            <wp:effectExtent l="0" t="0" r="3810" b="6350"/>
            <wp:wrapNone/>
            <wp:docPr id="1" name="图片 1" descr="tim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tim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2548890" cy="889000"/>
                    </a:xfrm>
                    <a:prstGeom prst="rect">
                      <a:avLst/>
                    </a:prstGeom>
                    <a:noFill/>
                    <a:ln>
                      <a:noFill/>
                    </a:ln>
                  </pic:spPr>
                </pic:pic>
              </a:graphicData>
            </a:graphic>
          </wp:anchor>
        </w:drawing>
      </w:r>
    </w:p>
    <w:p w14:paraId="678A81FC">
      <w:pPr>
        <w:adjustRightInd w:val="0"/>
        <w:snapToGrid w:val="0"/>
        <w:spacing w:line="360" w:lineRule="auto"/>
        <w:jc w:val="left"/>
        <w:rPr>
          <w:rFonts w:ascii="宋体" w:hAnsi="宋体"/>
          <w:sz w:val="24"/>
          <w:szCs w:val="24"/>
        </w:rPr>
      </w:pPr>
    </w:p>
    <w:p w14:paraId="05F91182">
      <w:pPr>
        <w:adjustRightInd w:val="0"/>
        <w:snapToGrid w:val="0"/>
        <w:spacing w:line="360" w:lineRule="auto"/>
        <w:jc w:val="left"/>
        <w:rPr>
          <w:rFonts w:ascii="宋体" w:hAnsi="宋体"/>
          <w:sz w:val="24"/>
          <w:szCs w:val="24"/>
        </w:rPr>
      </w:pPr>
    </w:p>
    <w:p w14:paraId="005AA067">
      <w:pPr>
        <w:adjustRightInd w:val="0"/>
        <w:snapToGrid w:val="0"/>
        <w:spacing w:line="360" w:lineRule="auto"/>
        <w:jc w:val="left"/>
        <w:rPr>
          <w:rFonts w:ascii="宋体" w:hAnsi="宋体"/>
          <w:sz w:val="24"/>
          <w:szCs w:val="24"/>
        </w:rPr>
      </w:pPr>
    </w:p>
    <w:p w14:paraId="03F3C5F6">
      <w:pPr>
        <w:adjustRightInd w:val="0"/>
        <w:snapToGrid w:val="0"/>
        <w:spacing w:line="360" w:lineRule="auto"/>
        <w:jc w:val="left"/>
        <w:rPr>
          <w:rFonts w:ascii="宋体" w:hAnsi="宋体"/>
          <w:sz w:val="24"/>
          <w:szCs w:val="24"/>
        </w:rPr>
      </w:pPr>
    </w:p>
    <w:p w14:paraId="6B2506A1">
      <w:pPr>
        <w:adjustRightInd w:val="0"/>
        <w:snapToGrid w:val="0"/>
        <w:spacing w:line="360" w:lineRule="auto"/>
        <w:jc w:val="center"/>
        <w:rPr>
          <w:rFonts w:ascii="宋体" w:hAnsi="宋体"/>
          <w:sz w:val="44"/>
          <w:szCs w:val="24"/>
        </w:rPr>
      </w:pPr>
    </w:p>
    <w:p w14:paraId="25EA2AD6">
      <w:pPr>
        <w:adjustRightInd w:val="0"/>
        <w:snapToGrid w:val="0"/>
        <w:spacing w:line="360" w:lineRule="auto"/>
        <w:jc w:val="center"/>
        <w:rPr>
          <w:rFonts w:ascii="宋体" w:hAnsi="宋体"/>
          <w:sz w:val="44"/>
          <w:szCs w:val="24"/>
        </w:rPr>
      </w:pPr>
      <w:r>
        <w:rPr>
          <w:rFonts w:hint="eastAsia" w:ascii="宋体" w:hAnsi="宋体"/>
          <w:sz w:val="44"/>
          <w:szCs w:val="24"/>
        </w:rPr>
        <w:t>电机年度外委维修项目</w:t>
      </w:r>
    </w:p>
    <w:p w14:paraId="71DA5A63">
      <w:pPr>
        <w:adjustRightInd w:val="0"/>
        <w:snapToGrid w:val="0"/>
        <w:spacing w:line="360" w:lineRule="auto"/>
        <w:jc w:val="center"/>
        <w:rPr>
          <w:rFonts w:ascii="宋体" w:hAnsi="宋体"/>
          <w:sz w:val="44"/>
          <w:szCs w:val="24"/>
        </w:rPr>
      </w:pPr>
    </w:p>
    <w:p w14:paraId="7571CD08">
      <w:pPr>
        <w:adjustRightInd w:val="0"/>
        <w:snapToGrid w:val="0"/>
        <w:spacing w:line="360" w:lineRule="auto"/>
        <w:jc w:val="center"/>
        <w:rPr>
          <w:rFonts w:ascii="宋体" w:hAnsi="宋体" w:cs="宋体"/>
          <w:sz w:val="44"/>
          <w:szCs w:val="24"/>
        </w:rPr>
      </w:pPr>
      <w:r>
        <w:rPr>
          <w:rFonts w:hint="eastAsia" w:ascii="宋体" w:hAnsi="宋体" w:cs="宋体"/>
          <w:sz w:val="44"/>
          <w:szCs w:val="24"/>
        </w:rPr>
        <w:t>招标文件</w:t>
      </w:r>
    </w:p>
    <w:p w14:paraId="06BF2C27">
      <w:pPr>
        <w:adjustRightInd w:val="0"/>
        <w:snapToGrid w:val="0"/>
        <w:spacing w:line="360" w:lineRule="auto"/>
        <w:jc w:val="center"/>
        <w:rPr>
          <w:rFonts w:ascii="宋体" w:hAnsi="宋体"/>
          <w:sz w:val="44"/>
          <w:szCs w:val="24"/>
        </w:rPr>
      </w:pPr>
    </w:p>
    <w:p w14:paraId="4CC607C0">
      <w:pPr>
        <w:adjustRightInd w:val="0"/>
        <w:snapToGrid w:val="0"/>
        <w:spacing w:line="360" w:lineRule="auto"/>
        <w:jc w:val="center"/>
        <w:rPr>
          <w:rFonts w:ascii="宋体" w:hAnsi="宋体"/>
          <w:sz w:val="36"/>
          <w:szCs w:val="24"/>
        </w:rPr>
      </w:pPr>
    </w:p>
    <w:p w14:paraId="739719D3">
      <w:pPr>
        <w:widowControl/>
        <w:adjustRightInd w:val="0"/>
        <w:snapToGrid w:val="0"/>
        <w:spacing w:line="360" w:lineRule="auto"/>
        <w:jc w:val="center"/>
        <w:rPr>
          <w:rFonts w:ascii="宋体" w:hAnsi="宋体" w:cs="宋体"/>
          <w:b/>
          <w:bCs/>
          <w:kern w:val="0"/>
          <w:sz w:val="36"/>
          <w:szCs w:val="24"/>
          <w:u w:val="single"/>
        </w:rPr>
      </w:pPr>
      <w:r>
        <w:rPr>
          <w:rFonts w:hint="eastAsia" w:ascii="宋体" w:hAnsi="宋体" w:cs="宋体"/>
          <w:b/>
          <w:bCs/>
          <w:kern w:val="0"/>
          <w:sz w:val="36"/>
          <w:szCs w:val="24"/>
        </w:rPr>
        <w:t>项目编号：</w:t>
      </w:r>
    </w:p>
    <w:p w14:paraId="53486808">
      <w:pPr>
        <w:adjustRightInd w:val="0"/>
        <w:snapToGrid w:val="0"/>
        <w:spacing w:line="360" w:lineRule="auto"/>
        <w:jc w:val="center"/>
        <w:rPr>
          <w:rFonts w:ascii="宋体" w:hAnsi="宋体"/>
          <w:sz w:val="36"/>
          <w:szCs w:val="24"/>
        </w:rPr>
      </w:pPr>
    </w:p>
    <w:p w14:paraId="5CD2217B">
      <w:pPr>
        <w:adjustRightInd w:val="0"/>
        <w:snapToGrid w:val="0"/>
        <w:spacing w:line="360" w:lineRule="auto"/>
        <w:jc w:val="center"/>
        <w:rPr>
          <w:rFonts w:ascii="宋体" w:hAnsi="宋体"/>
          <w:sz w:val="32"/>
          <w:szCs w:val="24"/>
        </w:rPr>
      </w:pPr>
    </w:p>
    <w:p w14:paraId="5A451C01">
      <w:pPr>
        <w:adjustRightInd w:val="0"/>
        <w:snapToGrid w:val="0"/>
        <w:spacing w:line="360" w:lineRule="auto"/>
        <w:jc w:val="center"/>
        <w:rPr>
          <w:rFonts w:ascii="宋体" w:hAnsi="宋体"/>
          <w:sz w:val="32"/>
          <w:szCs w:val="24"/>
        </w:rPr>
      </w:pPr>
      <w:r>
        <w:rPr>
          <w:rFonts w:hint="eastAsia" w:ascii="宋体" w:hAnsi="宋体"/>
          <w:sz w:val="32"/>
          <w:szCs w:val="24"/>
        </w:rPr>
        <w:t>招 标 人：重汽（重庆）轻型汽车有限公司</w:t>
      </w:r>
    </w:p>
    <w:p w14:paraId="658C00E5">
      <w:pPr>
        <w:adjustRightInd w:val="0"/>
        <w:snapToGrid w:val="0"/>
        <w:spacing w:line="360" w:lineRule="auto"/>
        <w:jc w:val="center"/>
        <w:rPr>
          <w:rFonts w:ascii="宋体" w:hAnsi="宋体"/>
          <w:sz w:val="32"/>
          <w:szCs w:val="24"/>
        </w:rPr>
      </w:pPr>
    </w:p>
    <w:p w14:paraId="3FE6374C">
      <w:pPr>
        <w:adjustRightInd w:val="0"/>
        <w:snapToGrid w:val="0"/>
        <w:spacing w:line="360" w:lineRule="auto"/>
        <w:jc w:val="center"/>
        <w:rPr>
          <w:rFonts w:ascii="宋体" w:hAnsi="宋体"/>
          <w:b/>
          <w:bCs/>
          <w:sz w:val="32"/>
          <w:szCs w:val="24"/>
        </w:rPr>
      </w:pPr>
      <w:r>
        <w:rPr>
          <w:rFonts w:hint="eastAsia" w:ascii="宋体" w:hAnsi="宋体"/>
          <w:sz w:val="32"/>
          <w:szCs w:val="24"/>
          <w:u w:val="single"/>
        </w:rPr>
        <w:t>202</w:t>
      </w:r>
      <w:r>
        <w:rPr>
          <w:rFonts w:ascii="宋体" w:hAnsi="宋体"/>
          <w:sz w:val="32"/>
          <w:szCs w:val="24"/>
          <w:u w:val="single"/>
        </w:rPr>
        <w:t>6</w:t>
      </w:r>
      <w:r>
        <w:rPr>
          <w:rFonts w:hint="eastAsia" w:ascii="宋体" w:hAnsi="宋体"/>
          <w:sz w:val="32"/>
          <w:szCs w:val="24"/>
          <w:u w:val="single"/>
        </w:rPr>
        <w:t>年</w:t>
      </w:r>
      <w:r>
        <w:rPr>
          <w:rFonts w:hint="eastAsia" w:ascii="宋体" w:hAnsi="宋体"/>
          <w:sz w:val="32"/>
          <w:szCs w:val="24"/>
          <w:u w:val="single"/>
          <w:lang w:val="en-US" w:eastAsia="zh-CN"/>
        </w:rPr>
        <w:t>6</w:t>
      </w:r>
      <w:r>
        <w:rPr>
          <w:rFonts w:hint="eastAsia" w:ascii="宋体" w:hAnsi="宋体"/>
          <w:sz w:val="32"/>
          <w:szCs w:val="24"/>
          <w:u w:val="single"/>
        </w:rPr>
        <w:t>月</w:t>
      </w:r>
    </w:p>
    <w:p w14:paraId="684610D4">
      <w:pPr>
        <w:adjustRightInd w:val="0"/>
        <w:snapToGrid w:val="0"/>
        <w:spacing w:line="360" w:lineRule="auto"/>
        <w:jc w:val="left"/>
        <w:rPr>
          <w:rFonts w:ascii="宋体" w:hAnsi="宋体"/>
          <w:b/>
          <w:bCs/>
          <w:sz w:val="24"/>
          <w:szCs w:val="24"/>
        </w:rPr>
        <w:sectPr>
          <w:footerReference r:id="rId6" w:type="first"/>
          <w:headerReference r:id="rId3" w:type="default"/>
          <w:footerReference r:id="rId4" w:type="default"/>
          <w:footerReference r:id="rId5" w:type="even"/>
          <w:pgSz w:w="11906" w:h="16838"/>
          <w:pgMar w:top="1701" w:right="1418" w:bottom="1134" w:left="1418" w:header="851" w:footer="992" w:gutter="0"/>
          <w:cols w:space="720" w:num="1"/>
          <w:titlePg/>
          <w:docGrid w:type="lines" w:linePitch="312" w:charSpace="0"/>
        </w:sectPr>
      </w:pPr>
    </w:p>
    <w:sdt>
      <w:sdtPr>
        <w:rPr>
          <w:rFonts w:ascii="宋体" w:hAnsi="宋体" w:eastAsia="宋体" w:cs="Times New Roman"/>
          <w:b/>
          <w:caps/>
          <w:color w:val="auto"/>
          <w:kern w:val="2"/>
          <w:sz w:val="24"/>
          <w:szCs w:val="24"/>
          <w:lang w:val="zh-CN"/>
        </w:rPr>
        <w:id w:val="-629018532"/>
        <w:docPartObj>
          <w:docPartGallery w:val="Table of Contents"/>
          <w:docPartUnique/>
        </w:docPartObj>
      </w:sdtPr>
      <w:sdtEndPr>
        <w:rPr>
          <w:rFonts w:ascii="宋体" w:hAnsi="宋体" w:eastAsia="宋体" w:cs="Times New Roman"/>
          <w:b/>
          <w:bCs/>
          <w:caps/>
          <w:color w:val="auto"/>
          <w:kern w:val="2"/>
          <w:sz w:val="24"/>
          <w:szCs w:val="24"/>
          <w:lang w:val="zh-CN"/>
        </w:rPr>
      </w:sdtEndPr>
      <w:sdtContent>
        <w:p w14:paraId="7C1C6036">
          <w:pPr>
            <w:pStyle w:val="68"/>
            <w:adjustRightInd w:val="0"/>
            <w:snapToGrid w:val="0"/>
            <w:spacing w:before="0" w:line="360" w:lineRule="auto"/>
            <w:rPr>
              <w:rFonts w:ascii="宋体" w:hAnsi="宋体" w:eastAsia="宋体"/>
              <w:b/>
              <w:color w:val="auto"/>
              <w:sz w:val="24"/>
              <w:szCs w:val="24"/>
              <w:lang w:val="zh-CN"/>
            </w:rPr>
          </w:pPr>
          <w:r>
            <w:rPr>
              <w:rFonts w:ascii="宋体" w:hAnsi="宋体" w:eastAsia="宋体"/>
              <w:b/>
              <w:color w:val="auto"/>
              <w:sz w:val="24"/>
              <w:szCs w:val="24"/>
              <w:lang w:val="zh-CN"/>
            </w:rPr>
            <w:t>目</w:t>
          </w:r>
          <w:r>
            <w:rPr>
              <w:rFonts w:hint="eastAsia" w:ascii="宋体" w:hAnsi="宋体" w:eastAsia="宋体"/>
              <w:b/>
              <w:color w:val="auto"/>
              <w:sz w:val="24"/>
              <w:szCs w:val="24"/>
              <w:lang w:val="zh-CN"/>
            </w:rPr>
            <w:t xml:space="preserve"> </w:t>
          </w:r>
          <w:r>
            <w:rPr>
              <w:rFonts w:ascii="宋体" w:hAnsi="宋体" w:eastAsia="宋体"/>
              <w:b/>
              <w:color w:val="auto"/>
              <w:sz w:val="24"/>
              <w:szCs w:val="24"/>
              <w:lang w:val="zh-CN"/>
            </w:rPr>
            <w:t xml:space="preserve">    录</w:t>
          </w:r>
        </w:p>
        <w:p w14:paraId="03E0D64F">
          <w:pPr>
            <w:pStyle w:val="21"/>
            <w:tabs>
              <w:tab w:val="right" w:leader="dot" w:pos="9070"/>
              <w:tab w:val="clear" w:pos="8729"/>
            </w:tabs>
            <w:adjustRightInd w:val="0"/>
            <w:snapToGrid w:val="0"/>
            <w:spacing w:line="360" w:lineRule="auto"/>
            <w:rPr>
              <w:sz w:val="24"/>
              <w:szCs w:val="24"/>
            </w:rPr>
          </w:pPr>
          <w:r>
            <w:rPr>
              <w:rFonts w:hint="eastAsia"/>
              <w:bCs/>
              <w:kern w:val="44"/>
              <w:sz w:val="24"/>
              <w:szCs w:val="24"/>
            </w:rPr>
            <w:fldChar w:fldCharType="begin"/>
          </w:r>
          <w:r>
            <w:rPr>
              <w:rFonts w:hint="eastAsia"/>
              <w:bCs/>
              <w:kern w:val="44"/>
              <w:sz w:val="24"/>
              <w:szCs w:val="24"/>
            </w:rPr>
            <w:instrText xml:space="preserve">TOC \o "1-1" \h \u </w:instrText>
          </w:r>
          <w:r>
            <w:rPr>
              <w:rFonts w:hint="eastAsia"/>
              <w:bCs/>
              <w:kern w:val="44"/>
              <w:sz w:val="24"/>
              <w:szCs w:val="24"/>
            </w:rPr>
            <w:fldChar w:fldCharType="separate"/>
          </w:r>
          <w:r>
            <w:fldChar w:fldCharType="begin"/>
          </w:r>
          <w:r>
            <w:instrText xml:space="preserve"> HYPERLINK \l "_Toc23927" </w:instrText>
          </w:r>
          <w:r>
            <w:fldChar w:fldCharType="separate"/>
          </w:r>
          <w:r>
            <w:rPr>
              <w:rFonts w:hint="eastAsia"/>
              <w:sz w:val="24"/>
              <w:szCs w:val="24"/>
            </w:rPr>
            <w:t>第一部分  投标人须知</w:t>
          </w:r>
          <w:r>
            <w:rPr>
              <w:sz w:val="24"/>
              <w:szCs w:val="24"/>
            </w:rPr>
            <w:tab/>
          </w:r>
          <w:r>
            <w:rPr>
              <w:sz w:val="24"/>
              <w:szCs w:val="24"/>
            </w:rPr>
            <w:fldChar w:fldCharType="begin"/>
          </w:r>
          <w:r>
            <w:rPr>
              <w:sz w:val="24"/>
              <w:szCs w:val="24"/>
            </w:rPr>
            <w:instrText xml:space="preserve"> PAGEREF _Toc23927 \h </w:instrText>
          </w:r>
          <w:r>
            <w:rPr>
              <w:sz w:val="24"/>
              <w:szCs w:val="24"/>
            </w:rPr>
            <w:fldChar w:fldCharType="separate"/>
          </w:r>
          <w:r>
            <w:rPr>
              <w:sz w:val="24"/>
              <w:szCs w:val="24"/>
            </w:rPr>
            <w:t>2</w:t>
          </w:r>
          <w:r>
            <w:rPr>
              <w:sz w:val="24"/>
              <w:szCs w:val="24"/>
            </w:rPr>
            <w:fldChar w:fldCharType="end"/>
          </w:r>
          <w:r>
            <w:rPr>
              <w:sz w:val="24"/>
              <w:szCs w:val="24"/>
            </w:rPr>
            <w:fldChar w:fldCharType="end"/>
          </w:r>
        </w:p>
        <w:p w14:paraId="1F0CC971">
          <w:pPr>
            <w:pStyle w:val="21"/>
            <w:tabs>
              <w:tab w:val="right" w:leader="dot" w:pos="9070"/>
              <w:tab w:val="clear" w:pos="8729"/>
            </w:tabs>
            <w:adjustRightInd w:val="0"/>
            <w:snapToGrid w:val="0"/>
            <w:spacing w:line="360" w:lineRule="auto"/>
            <w:rPr>
              <w:sz w:val="24"/>
              <w:szCs w:val="24"/>
            </w:rPr>
          </w:pPr>
          <w:r>
            <w:fldChar w:fldCharType="begin"/>
          </w:r>
          <w:r>
            <w:instrText xml:space="preserve"> HYPERLINK \l "_Toc16839" </w:instrText>
          </w:r>
          <w:r>
            <w:fldChar w:fldCharType="separate"/>
          </w:r>
          <w:r>
            <w:rPr>
              <w:rFonts w:hint="eastAsia"/>
              <w:sz w:val="24"/>
              <w:szCs w:val="24"/>
            </w:rPr>
            <w:t>第二部分　技术标书</w:t>
          </w:r>
          <w:r>
            <w:rPr>
              <w:sz w:val="24"/>
              <w:szCs w:val="24"/>
            </w:rPr>
            <w:tab/>
          </w:r>
          <w:r>
            <w:rPr>
              <w:sz w:val="24"/>
              <w:szCs w:val="24"/>
            </w:rPr>
            <w:fldChar w:fldCharType="begin"/>
          </w:r>
          <w:r>
            <w:rPr>
              <w:sz w:val="24"/>
              <w:szCs w:val="24"/>
            </w:rPr>
            <w:instrText xml:space="preserve"> PAGEREF _Toc16839 \h </w:instrText>
          </w:r>
          <w:r>
            <w:rPr>
              <w:sz w:val="24"/>
              <w:szCs w:val="24"/>
            </w:rPr>
            <w:fldChar w:fldCharType="separate"/>
          </w:r>
          <w:r>
            <w:rPr>
              <w:sz w:val="24"/>
              <w:szCs w:val="24"/>
            </w:rPr>
            <w:t>10</w:t>
          </w:r>
          <w:r>
            <w:rPr>
              <w:sz w:val="24"/>
              <w:szCs w:val="24"/>
            </w:rPr>
            <w:fldChar w:fldCharType="end"/>
          </w:r>
          <w:r>
            <w:rPr>
              <w:sz w:val="24"/>
              <w:szCs w:val="24"/>
            </w:rPr>
            <w:fldChar w:fldCharType="end"/>
          </w:r>
        </w:p>
        <w:p w14:paraId="2FA65432">
          <w:pPr>
            <w:pStyle w:val="21"/>
            <w:tabs>
              <w:tab w:val="right" w:leader="dot" w:pos="9070"/>
              <w:tab w:val="clear" w:pos="8729"/>
            </w:tabs>
            <w:adjustRightInd w:val="0"/>
            <w:snapToGrid w:val="0"/>
            <w:spacing w:line="360" w:lineRule="auto"/>
            <w:rPr>
              <w:sz w:val="24"/>
              <w:szCs w:val="24"/>
            </w:rPr>
          </w:pPr>
          <w:r>
            <w:fldChar w:fldCharType="begin"/>
          </w:r>
          <w:r>
            <w:instrText xml:space="preserve"> HYPERLINK \l "_Toc16500" </w:instrText>
          </w:r>
          <w:r>
            <w:fldChar w:fldCharType="separate"/>
          </w:r>
          <w:r>
            <w:rPr>
              <w:rFonts w:hint="eastAsia"/>
              <w:sz w:val="24"/>
              <w:szCs w:val="24"/>
            </w:rPr>
            <w:t>第三部分　投标文件附件</w:t>
          </w:r>
          <w:r>
            <w:rPr>
              <w:sz w:val="24"/>
              <w:szCs w:val="24"/>
            </w:rPr>
            <w:tab/>
          </w:r>
          <w:r>
            <w:rPr>
              <w:sz w:val="24"/>
              <w:szCs w:val="24"/>
            </w:rPr>
            <w:fldChar w:fldCharType="begin"/>
          </w:r>
          <w:r>
            <w:rPr>
              <w:sz w:val="24"/>
              <w:szCs w:val="24"/>
            </w:rPr>
            <w:instrText xml:space="preserve"> PAGEREF _Toc16500 \h </w:instrText>
          </w:r>
          <w:r>
            <w:rPr>
              <w:sz w:val="24"/>
              <w:szCs w:val="24"/>
            </w:rPr>
            <w:fldChar w:fldCharType="separate"/>
          </w:r>
          <w:r>
            <w:rPr>
              <w:sz w:val="24"/>
              <w:szCs w:val="24"/>
            </w:rPr>
            <w:t>15</w:t>
          </w:r>
          <w:r>
            <w:rPr>
              <w:sz w:val="24"/>
              <w:szCs w:val="24"/>
            </w:rPr>
            <w:fldChar w:fldCharType="end"/>
          </w:r>
          <w:r>
            <w:rPr>
              <w:sz w:val="24"/>
              <w:szCs w:val="24"/>
            </w:rPr>
            <w:fldChar w:fldCharType="end"/>
          </w:r>
        </w:p>
        <w:p w14:paraId="19CB2EE9">
          <w:pPr>
            <w:pStyle w:val="21"/>
            <w:adjustRightInd w:val="0"/>
            <w:snapToGrid w:val="0"/>
            <w:spacing w:line="360" w:lineRule="auto"/>
            <w:rPr>
              <w:sz w:val="24"/>
              <w:szCs w:val="24"/>
            </w:rPr>
          </w:pPr>
          <w:r>
            <w:rPr>
              <w:rFonts w:hint="eastAsia"/>
              <w:bCs/>
              <w:kern w:val="44"/>
              <w:sz w:val="24"/>
              <w:szCs w:val="24"/>
            </w:rPr>
            <w:fldChar w:fldCharType="end"/>
          </w:r>
        </w:p>
      </w:sdtContent>
    </w:sdt>
    <w:p w14:paraId="601D781A">
      <w:pPr>
        <w:pStyle w:val="15"/>
        <w:tabs>
          <w:tab w:val="left" w:pos="2940"/>
        </w:tabs>
        <w:adjustRightInd w:val="0"/>
        <w:snapToGrid w:val="0"/>
        <w:spacing w:line="360" w:lineRule="auto"/>
        <w:jc w:val="left"/>
        <w:rPr>
          <w:rFonts w:hAnsi="宋体"/>
          <w:sz w:val="24"/>
          <w:szCs w:val="24"/>
        </w:rPr>
      </w:pPr>
      <w:r>
        <w:rPr>
          <w:rFonts w:hAnsi="宋体"/>
          <w:sz w:val="24"/>
          <w:szCs w:val="24"/>
        </w:rPr>
        <w:tab/>
      </w:r>
    </w:p>
    <w:p w14:paraId="728D2743">
      <w:pPr>
        <w:pStyle w:val="15"/>
        <w:adjustRightInd w:val="0"/>
        <w:snapToGrid w:val="0"/>
        <w:spacing w:line="360" w:lineRule="auto"/>
        <w:jc w:val="left"/>
        <w:rPr>
          <w:rFonts w:hAnsi="宋体"/>
          <w:sz w:val="24"/>
          <w:szCs w:val="24"/>
        </w:rPr>
      </w:pPr>
    </w:p>
    <w:p w14:paraId="38BB653C">
      <w:pPr>
        <w:pStyle w:val="15"/>
        <w:adjustRightInd w:val="0"/>
        <w:snapToGrid w:val="0"/>
        <w:spacing w:line="360" w:lineRule="auto"/>
        <w:jc w:val="left"/>
        <w:rPr>
          <w:rFonts w:hAnsi="宋体"/>
          <w:sz w:val="24"/>
          <w:szCs w:val="24"/>
        </w:rPr>
        <w:sectPr>
          <w:pgSz w:w="11906" w:h="16838"/>
          <w:pgMar w:top="1701" w:right="1418" w:bottom="1134" w:left="1418" w:header="851" w:footer="992" w:gutter="0"/>
          <w:cols w:space="720" w:num="1"/>
          <w:titlePg/>
          <w:docGrid w:type="lines" w:linePitch="312" w:charSpace="0"/>
        </w:sectPr>
      </w:pPr>
    </w:p>
    <w:p w14:paraId="7AFD183D">
      <w:pPr>
        <w:pStyle w:val="71"/>
        <w:adjustRightInd w:val="0"/>
        <w:snapToGrid w:val="0"/>
        <w:jc w:val="left"/>
        <w:outlineLvl w:val="9"/>
        <w:rPr>
          <w:rFonts w:ascii="宋体" w:hAnsi="宋体" w:eastAsia="宋体"/>
          <w:sz w:val="24"/>
          <w:szCs w:val="24"/>
        </w:rPr>
      </w:pPr>
      <w:bookmarkStart w:id="0" w:name="_Toc23927"/>
      <w:bookmarkStart w:id="1" w:name="_Toc47976595"/>
      <w:r>
        <w:rPr>
          <w:rFonts w:hint="eastAsia" w:ascii="宋体" w:hAnsi="宋体" w:eastAsia="宋体"/>
          <w:sz w:val="24"/>
          <w:szCs w:val="24"/>
        </w:rPr>
        <w:t>第一部分  投标人须知</w:t>
      </w:r>
      <w:bookmarkEnd w:id="0"/>
      <w:bookmarkEnd w:id="1"/>
    </w:p>
    <w:p w14:paraId="51725DC6">
      <w:pPr>
        <w:pStyle w:val="72"/>
        <w:adjustRightInd w:val="0"/>
        <w:snapToGrid w:val="0"/>
        <w:ind w:left="0" w:firstLine="0"/>
        <w:jc w:val="left"/>
        <w:outlineLvl w:val="9"/>
        <w:rPr>
          <w:rFonts w:ascii="宋体" w:hAnsi="宋体" w:eastAsia="宋体"/>
          <w:sz w:val="24"/>
          <w:szCs w:val="24"/>
        </w:rPr>
      </w:pPr>
      <w:bookmarkStart w:id="2" w:name="_Toc47976596"/>
      <w:r>
        <w:rPr>
          <w:rFonts w:hint="eastAsia" w:ascii="宋体" w:hAnsi="宋体" w:eastAsia="宋体"/>
          <w:sz w:val="24"/>
          <w:szCs w:val="24"/>
        </w:rPr>
        <w:t>项目介绍</w:t>
      </w:r>
      <w:bookmarkEnd w:id="2"/>
    </w:p>
    <w:p w14:paraId="1011F036">
      <w:pPr>
        <w:pStyle w:val="76"/>
        <w:numPr>
          <w:ilvl w:val="0"/>
          <w:numId w:val="9"/>
        </w:numPr>
        <w:adjustRightInd w:val="0"/>
        <w:snapToGrid w:val="0"/>
        <w:rPr>
          <w:rFonts w:hAnsi="宋体"/>
          <w:sz w:val="24"/>
          <w:szCs w:val="24"/>
        </w:rPr>
      </w:pPr>
      <w:r>
        <w:rPr>
          <w:rFonts w:hint="eastAsia" w:hAnsi="宋体"/>
          <w:sz w:val="24"/>
          <w:szCs w:val="24"/>
        </w:rPr>
        <w:t>项目名称：电机年度外委维修项目</w:t>
      </w:r>
    </w:p>
    <w:p w14:paraId="1AF194CA">
      <w:pPr>
        <w:pStyle w:val="76"/>
        <w:numPr>
          <w:ilvl w:val="0"/>
          <w:numId w:val="9"/>
        </w:numPr>
        <w:adjustRightInd w:val="0"/>
        <w:snapToGrid w:val="0"/>
        <w:rPr>
          <w:rFonts w:hAnsi="宋体"/>
          <w:sz w:val="24"/>
          <w:szCs w:val="24"/>
        </w:rPr>
      </w:pPr>
      <w:r>
        <w:rPr>
          <w:rFonts w:hint="eastAsia" w:hAnsi="宋体"/>
          <w:sz w:val="24"/>
          <w:szCs w:val="24"/>
        </w:rPr>
        <w:t>项目编号：</w:t>
      </w:r>
    </w:p>
    <w:p w14:paraId="23243403">
      <w:pPr>
        <w:pStyle w:val="76"/>
        <w:numPr>
          <w:ilvl w:val="0"/>
          <w:numId w:val="9"/>
        </w:numPr>
        <w:adjustRightInd w:val="0"/>
        <w:snapToGrid w:val="0"/>
        <w:rPr>
          <w:rFonts w:hAnsi="宋体"/>
          <w:sz w:val="24"/>
          <w:szCs w:val="24"/>
        </w:rPr>
      </w:pPr>
      <w:r>
        <w:rPr>
          <w:rFonts w:hint="eastAsia" w:hAnsi="宋体"/>
          <w:sz w:val="24"/>
          <w:szCs w:val="24"/>
        </w:rPr>
        <w:t>招标形式：</w:t>
      </w:r>
      <w:bookmarkStart w:id="3" w:name="_Toc47112482"/>
      <w:r>
        <w:rPr>
          <w:rFonts w:hint="eastAsia" w:hAnsi="宋体"/>
          <w:sz w:val="24"/>
          <w:szCs w:val="24"/>
        </w:rPr>
        <w:t>公开招标</w:t>
      </w:r>
    </w:p>
    <w:p w14:paraId="79E57E8C">
      <w:pPr>
        <w:pStyle w:val="63"/>
        <w:numPr>
          <w:ilvl w:val="0"/>
          <w:numId w:val="0"/>
        </w:numPr>
        <w:adjustRightInd w:val="0"/>
        <w:snapToGrid w:val="0"/>
        <w:spacing w:line="360" w:lineRule="auto"/>
        <w:ind w:leftChars="0" w:firstLine="480" w:firstLineChars="200"/>
        <w:jc w:val="left"/>
        <w:rPr>
          <w:rFonts w:hint="eastAsia" w:ascii="宋体" w:hAnsi="宋体" w:cs="宋体"/>
          <w:sz w:val="24"/>
          <w:szCs w:val="24"/>
          <w:lang w:val="en-US" w:eastAsia="zh-CN"/>
        </w:rPr>
      </w:pPr>
      <w:r>
        <w:rPr>
          <w:rFonts w:hint="eastAsia" w:ascii="宋体" w:hAnsi="宋体" w:cs="宋体"/>
          <w:sz w:val="24"/>
          <w:szCs w:val="24"/>
          <w:lang w:val="en-US" w:eastAsia="zh-CN"/>
        </w:rPr>
        <w:t>项目概况：重汽（重庆）轻型汽车有限公司位于重庆市江津区双福生产基地在进行生产经营活动中，公司电机品牌和规格较多，经常出现电机故障，为提高电机维修效率，通过签定开口维修合同的方式，实现快速修复电机的目的。</w:t>
      </w:r>
    </w:p>
    <w:p w14:paraId="7E7EEE2C">
      <w:pPr>
        <w:pStyle w:val="76"/>
        <w:numPr>
          <w:ilvl w:val="0"/>
          <w:numId w:val="9"/>
        </w:numPr>
        <w:adjustRightInd w:val="0"/>
        <w:snapToGrid w:val="0"/>
        <w:rPr>
          <w:rFonts w:hAnsi="宋体"/>
          <w:sz w:val="24"/>
          <w:szCs w:val="24"/>
        </w:rPr>
      </w:pPr>
      <w:r>
        <w:rPr>
          <w:rFonts w:hint="eastAsia" w:hAnsi="宋体"/>
          <w:sz w:val="24"/>
          <w:szCs w:val="24"/>
        </w:rPr>
        <w:t>招标内容具体要求</w:t>
      </w:r>
      <w:r>
        <w:rPr>
          <w:rFonts w:hint="eastAsia" w:hAnsi="宋体"/>
          <w:sz w:val="24"/>
          <w:szCs w:val="24"/>
          <w:highlight w:val="none"/>
        </w:rPr>
        <w:t>详见《技术标书》。</w:t>
      </w:r>
    </w:p>
    <w:p w14:paraId="1371C73D">
      <w:pPr>
        <w:pStyle w:val="76"/>
        <w:numPr>
          <w:ilvl w:val="0"/>
          <w:numId w:val="9"/>
        </w:numPr>
        <w:adjustRightInd w:val="0"/>
        <w:snapToGrid w:val="0"/>
        <w:rPr>
          <w:rFonts w:hAnsi="宋体"/>
          <w:sz w:val="24"/>
          <w:szCs w:val="24"/>
        </w:rPr>
      </w:pPr>
      <w:r>
        <w:rPr>
          <w:rFonts w:hint="eastAsia" w:hAnsi="宋体"/>
          <w:sz w:val="24"/>
          <w:szCs w:val="24"/>
        </w:rPr>
        <w:t>报价：本项目的所有报价均以人民币填报。投标人应分别报出不含税金额、税率和价税合计金额</w:t>
      </w:r>
      <w:r>
        <w:rPr>
          <w:rFonts w:hint="eastAsia" w:hAnsi="宋体"/>
          <w:sz w:val="24"/>
          <w:szCs w:val="24"/>
          <w:lang w:eastAsia="zh-CN"/>
        </w:rPr>
        <w:t>，</w:t>
      </w:r>
      <w:r>
        <w:rPr>
          <w:rFonts w:hint="eastAsia" w:hAnsi="宋体"/>
          <w:sz w:val="24"/>
          <w:szCs w:val="24"/>
          <w:lang w:val="en-US" w:eastAsia="zh-CN"/>
        </w:rPr>
        <w:t>按年度报价，维修</w:t>
      </w:r>
      <w:r>
        <w:rPr>
          <w:rFonts w:hint="eastAsia" w:ascii="宋体" w:hAnsi="宋体" w:eastAsia="宋体" w:cs="宋体"/>
          <w:b w:val="0"/>
          <w:bCs/>
          <w:kern w:val="2"/>
          <w:sz w:val="24"/>
          <w:szCs w:val="24"/>
          <w:lang w:val="en-US" w:eastAsia="zh-CN" w:bidi="ar-SA"/>
        </w:rPr>
        <w:t>服务周期</w:t>
      </w:r>
      <w:r>
        <w:rPr>
          <w:rFonts w:hint="eastAsia" w:hAnsi="宋体" w:cs="宋体"/>
          <w:b w:val="0"/>
          <w:bCs/>
          <w:kern w:val="2"/>
          <w:sz w:val="24"/>
          <w:szCs w:val="24"/>
          <w:lang w:val="en-US" w:eastAsia="zh-CN" w:bidi="ar-SA"/>
        </w:rPr>
        <w:t>为三年</w:t>
      </w:r>
      <w:r>
        <w:rPr>
          <w:rFonts w:hint="eastAsia" w:hAnsi="宋体"/>
          <w:sz w:val="24"/>
          <w:szCs w:val="24"/>
        </w:rPr>
        <w:t>。</w:t>
      </w:r>
    </w:p>
    <w:p w14:paraId="669CF450">
      <w:pPr>
        <w:pStyle w:val="76"/>
        <w:numPr>
          <w:ilvl w:val="0"/>
          <w:numId w:val="9"/>
        </w:numPr>
        <w:adjustRightInd w:val="0"/>
        <w:snapToGrid w:val="0"/>
        <w:rPr>
          <w:rFonts w:hAnsi="宋体"/>
          <w:sz w:val="24"/>
          <w:szCs w:val="24"/>
        </w:rPr>
      </w:pPr>
      <w:r>
        <w:rPr>
          <w:rFonts w:hint="eastAsia" w:hAnsi="宋体"/>
          <w:sz w:val="24"/>
          <w:szCs w:val="24"/>
        </w:rPr>
        <w:t>项</w:t>
      </w:r>
      <w:r>
        <w:rPr>
          <w:rFonts w:hint="eastAsia" w:hAnsi="宋体"/>
          <w:color w:val="auto"/>
          <w:sz w:val="24"/>
          <w:szCs w:val="24"/>
        </w:rPr>
        <w:t>目</w:t>
      </w:r>
      <w:r>
        <w:rPr>
          <w:rFonts w:hint="eastAsia" w:hAnsi="宋体"/>
          <w:color w:val="auto"/>
          <w:sz w:val="24"/>
          <w:szCs w:val="24"/>
          <w:lang w:val="en-US" w:eastAsia="zh-CN"/>
        </w:rPr>
        <w:t>年度</w:t>
      </w:r>
      <w:r>
        <w:rPr>
          <w:rFonts w:hint="eastAsia" w:hAnsi="宋体"/>
          <w:color w:val="auto"/>
          <w:sz w:val="24"/>
          <w:szCs w:val="24"/>
        </w:rPr>
        <w:t>预</w:t>
      </w:r>
      <w:r>
        <w:rPr>
          <w:rFonts w:hint="eastAsia" w:hAnsi="宋体"/>
          <w:sz w:val="24"/>
          <w:szCs w:val="24"/>
        </w:rPr>
        <w:t>算为人民币</w:t>
      </w:r>
      <w:r>
        <w:rPr>
          <w:rFonts w:hint="eastAsia" w:hAnsi="宋体" w:cs="仿宋_GB2312"/>
          <w:bCs/>
          <w:color w:val="000000" w:themeColor="text1"/>
          <w:sz w:val="24"/>
          <w:szCs w:val="24"/>
          <w:lang w:val="en-US" w:eastAsia="zh-CN"/>
          <w14:textFill>
            <w14:solidFill>
              <w14:schemeClr w14:val="tx1"/>
            </w14:solidFill>
          </w14:textFill>
        </w:rPr>
        <w:t>2.3619</w:t>
      </w:r>
      <w:r>
        <w:rPr>
          <w:rFonts w:hint="eastAsia" w:hAnsi="宋体" w:cs="仿宋_GB2312"/>
          <w:bCs/>
          <w:color w:val="000000" w:themeColor="text1"/>
          <w:sz w:val="24"/>
          <w:szCs w:val="24"/>
          <w14:textFill>
            <w14:solidFill>
              <w14:schemeClr w14:val="tx1"/>
            </w14:solidFill>
          </w14:textFill>
        </w:rPr>
        <w:t>万元（未税）</w:t>
      </w:r>
      <w:r>
        <w:rPr>
          <w:rFonts w:hint="eastAsia" w:hAnsi="宋体"/>
          <w:sz w:val="24"/>
          <w:szCs w:val="24"/>
        </w:rPr>
        <w:t>。</w:t>
      </w:r>
    </w:p>
    <w:p w14:paraId="34433632">
      <w:pPr>
        <w:pStyle w:val="76"/>
        <w:numPr>
          <w:ilvl w:val="0"/>
          <w:numId w:val="9"/>
        </w:numPr>
        <w:adjustRightInd w:val="0"/>
        <w:snapToGrid w:val="0"/>
        <w:rPr>
          <w:rFonts w:hAnsi="宋体"/>
          <w:sz w:val="24"/>
          <w:szCs w:val="24"/>
        </w:rPr>
      </w:pPr>
      <w:r>
        <w:rPr>
          <w:rFonts w:hAnsi="宋体"/>
          <w:sz w:val="24"/>
          <w:szCs w:val="24"/>
        </w:rPr>
        <w:t>资金来源：企业自筹，已落实。</w:t>
      </w:r>
    </w:p>
    <w:p w14:paraId="4316F10A">
      <w:pPr>
        <w:pStyle w:val="76"/>
        <w:numPr>
          <w:ilvl w:val="0"/>
          <w:numId w:val="9"/>
        </w:numPr>
        <w:adjustRightInd w:val="0"/>
        <w:snapToGrid w:val="0"/>
        <w:rPr>
          <w:rFonts w:hAnsi="宋体"/>
          <w:sz w:val="24"/>
          <w:szCs w:val="24"/>
        </w:rPr>
      </w:pPr>
      <w:r>
        <w:rPr>
          <w:rFonts w:hint="eastAsia" w:hAnsi="宋体"/>
          <w:sz w:val="24"/>
          <w:szCs w:val="24"/>
        </w:rPr>
        <w:t>招标人信息：</w:t>
      </w:r>
    </w:p>
    <w:p w14:paraId="510A3318">
      <w:pPr>
        <w:adjustRightInd w:val="0"/>
        <w:snapToGrid w:val="0"/>
        <w:spacing w:line="360" w:lineRule="auto"/>
        <w:ind w:left="420" w:leftChars="200"/>
        <w:jc w:val="left"/>
        <w:rPr>
          <w:rFonts w:ascii="宋体" w:hAnsi="宋体"/>
          <w:sz w:val="24"/>
          <w:szCs w:val="24"/>
        </w:rPr>
      </w:pPr>
      <w:r>
        <w:rPr>
          <w:rFonts w:hint="eastAsia" w:ascii="宋体" w:hAnsi="宋体"/>
          <w:sz w:val="24"/>
          <w:szCs w:val="24"/>
        </w:rPr>
        <w:t>招标人名称：重汽（重庆）轻型汽车有限公司</w:t>
      </w:r>
    </w:p>
    <w:p w14:paraId="3D29CB22">
      <w:pPr>
        <w:adjustRightInd w:val="0"/>
        <w:snapToGrid w:val="0"/>
        <w:spacing w:line="360" w:lineRule="auto"/>
        <w:ind w:left="420" w:leftChars="200"/>
        <w:jc w:val="left"/>
        <w:rPr>
          <w:rFonts w:hint="eastAsia" w:ascii="宋体" w:hAnsi="宋体" w:eastAsia="宋体"/>
          <w:sz w:val="24"/>
          <w:szCs w:val="24"/>
          <w:lang w:eastAsia="zh-CN"/>
        </w:rPr>
      </w:pPr>
      <w:r>
        <w:rPr>
          <w:rFonts w:hint="eastAsia" w:ascii="宋体" w:hAnsi="宋体" w:cs="宋体"/>
          <w:sz w:val="24"/>
          <w:szCs w:val="24"/>
        </w:rPr>
        <w:t>报名及投标招标事宜联系人：</w:t>
      </w:r>
      <w:r>
        <w:rPr>
          <w:rFonts w:hint="eastAsia" w:ascii="宋体" w:hAnsi="宋体" w:cs="宋体"/>
          <w:sz w:val="24"/>
          <w:szCs w:val="24"/>
          <w:lang w:val="en-US" w:eastAsia="zh-CN"/>
        </w:rPr>
        <w:t>谢琴</w:t>
      </w:r>
    </w:p>
    <w:p w14:paraId="10079D8F">
      <w:pPr>
        <w:adjustRightInd w:val="0"/>
        <w:snapToGrid w:val="0"/>
        <w:spacing w:line="360" w:lineRule="auto"/>
        <w:ind w:left="420" w:leftChars="200"/>
        <w:jc w:val="left"/>
        <w:rPr>
          <w:rFonts w:hint="default" w:ascii="宋体" w:hAnsi="宋体" w:eastAsia="宋体"/>
          <w:sz w:val="24"/>
          <w:szCs w:val="24"/>
          <w:lang w:val="en-US" w:eastAsia="zh-CN"/>
        </w:rPr>
      </w:pPr>
      <w:r>
        <w:rPr>
          <w:rFonts w:hint="eastAsia" w:ascii="宋体" w:hAnsi="宋体"/>
          <w:sz w:val="24"/>
          <w:szCs w:val="24"/>
        </w:rPr>
        <w:t>电话：</w:t>
      </w:r>
      <w:r>
        <w:rPr>
          <w:rFonts w:hint="eastAsia" w:ascii="宋体" w:hAnsi="宋体"/>
          <w:sz w:val="24"/>
          <w:szCs w:val="24"/>
          <w:lang w:val="en-US" w:eastAsia="zh-CN"/>
        </w:rPr>
        <w:t>13883696452</w:t>
      </w:r>
    </w:p>
    <w:p w14:paraId="6D3CF9D3">
      <w:pPr>
        <w:adjustRightInd w:val="0"/>
        <w:snapToGrid w:val="0"/>
        <w:spacing w:line="360" w:lineRule="auto"/>
        <w:ind w:left="420" w:leftChars="200"/>
        <w:jc w:val="left"/>
        <w:rPr>
          <w:rFonts w:hint="eastAsia"/>
        </w:rPr>
      </w:pPr>
      <w:r>
        <w:rPr>
          <w:rFonts w:hint="eastAsia" w:ascii="宋体" w:hAnsi="宋体"/>
          <w:sz w:val="24"/>
          <w:szCs w:val="24"/>
        </w:rPr>
        <w:t>邮箱：</w:t>
      </w:r>
      <w:r>
        <w:rPr>
          <w:rFonts w:hint="eastAsia"/>
        </w:rPr>
        <w:fldChar w:fldCharType="begin"/>
      </w:r>
      <w:r>
        <w:rPr>
          <w:rFonts w:hint="eastAsia"/>
        </w:rPr>
        <w:instrText xml:space="preserve"> HYPERLINK "mailto:xieqin@sinotruk.com" </w:instrText>
      </w:r>
      <w:r>
        <w:rPr>
          <w:rFonts w:hint="eastAsia"/>
        </w:rPr>
        <w:fldChar w:fldCharType="separate"/>
      </w:r>
      <w:r>
        <w:rPr>
          <w:rStyle w:val="38"/>
          <w:rFonts w:hint="eastAsia"/>
        </w:rPr>
        <w:t>xieqin@sinotruk.com</w:t>
      </w:r>
      <w:r>
        <w:rPr>
          <w:rFonts w:hint="eastAsia"/>
        </w:rPr>
        <w:fldChar w:fldCharType="end"/>
      </w:r>
    </w:p>
    <w:p w14:paraId="62F845F2">
      <w:pPr>
        <w:adjustRightInd w:val="0"/>
        <w:snapToGrid w:val="0"/>
        <w:spacing w:line="360" w:lineRule="auto"/>
        <w:ind w:left="420" w:leftChars="200"/>
        <w:jc w:val="left"/>
        <w:rPr>
          <w:rFonts w:ascii="宋体" w:hAnsi="宋体"/>
          <w:sz w:val="24"/>
          <w:szCs w:val="24"/>
        </w:rPr>
      </w:pPr>
      <w:r>
        <w:rPr>
          <w:rFonts w:hint="eastAsia" w:ascii="宋体" w:hAnsi="宋体"/>
          <w:sz w:val="24"/>
          <w:szCs w:val="24"/>
        </w:rPr>
        <w:t>项目技术联系人：虞洋</w:t>
      </w:r>
    </w:p>
    <w:p w14:paraId="789E32F0">
      <w:pPr>
        <w:adjustRightInd w:val="0"/>
        <w:snapToGrid w:val="0"/>
        <w:spacing w:line="360" w:lineRule="auto"/>
        <w:ind w:left="420" w:leftChars="200"/>
        <w:jc w:val="left"/>
        <w:rPr>
          <w:rFonts w:ascii="宋体" w:hAnsi="宋体"/>
          <w:sz w:val="24"/>
          <w:szCs w:val="24"/>
        </w:rPr>
      </w:pPr>
      <w:r>
        <w:rPr>
          <w:rFonts w:hint="eastAsia" w:ascii="宋体" w:hAnsi="宋体"/>
          <w:sz w:val="24"/>
          <w:szCs w:val="24"/>
        </w:rPr>
        <w:t>电话：13220273670</w:t>
      </w:r>
    </w:p>
    <w:p w14:paraId="65C43207">
      <w:pPr>
        <w:adjustRightInd w:val="0"/>
        <w:snapToGrid w:val="0"/>
        <w:spacing w:line="360" w:lineRule="auto"/>
        <w:ind w:left="420" w:leftChars="200"/>
        <w:jc w:val="left"/>
        <w:rPr>
          <w:rFonts w:hint="eastAsia" w:ascii="宋体" w:hAnsi="宋体"/>
          <w:sz w:val="24"/>
          <w:szCs w:val="24"/>
        </w:rPr>
      </w:pPr>
      <w:r>
        <w:rPr>
          <w:rFonts w:hint="eastAsia" w:ascii="宋体" w:hAnsi="宋体"/>
          <w:sz w:val="24"/>
          <w:szCs w:val="24"/>
        </w:rPr>
        <w:t>邮箱：yuyang2@sinotruk.com</w:t>
      </w:r>
    </w:p>
    <w:bookmarkEnd w:id="3"/>
    <w:p w14:paraId="5445CD43">
      <w:pPr>
        <w:pStyle w:val="72"/>
        <w:adjustRightInd w:val="0"/>
        <w:snapToGrid w:val="0"/>
        <w:ind w:left="0" w:firstLine="0"/>
        <w:jc w:val="left"/>
        <w:outlineLvl w:val="9"/>
        <w:rPr>
          <w:rFonts w:ascii="宋体" w:hAnsi="宋体" w:eastAsia="宋体"/>
          <w:sz w:val="24"/>
          <w:szCs w:val="24"/>
        </w:rPr>
      </w:pPr>
      <w:bookmarkStart w:id="4" w:name="_Toc47976598"/>
      <w:r>
        <w:rPr>
          <w:rFonts w:hint="eastAsia" w:ascii="宋体" w:hAnsi="宋体" w:eastAsia="宋体"/>
          <w:sz w:val="24"/>
          <w:szCs w:val="24"/>
        </w:rPr>
        <w:t>合格的投标人</w:t>
      </w:r>
      <w:bookmarkEnd w:id="4"/>
    </w:p>
    <w:p w14:paraId="561DA3A0">
      <w:pPr>
        <w:pStyle w:val="63"/>
        <w:numPr>
          <w:ilvl w:val="0"/>
          <w:numId w:val="10"/>
        </w:numPr>
        <w:adjustRightInd w:val="0"/>
        <w:snapToGrid w:val="0"/>
        <w:spacing w:line="360" w:lineRule="auto"/>
        <w:ind w:firstLineChars="0"/>
        <w:jc w:val="left"/>
        <w:rPr>
          <w:rFonts w:ascii="宋体" w:hAnsi="宋体" w:cs="宋体"/>
          <w:sz w:val="24"/>
          <w:szCs w:val="24"/>
        </w:rPr>
      </w:pPr>
      <w:r>
        <w:rPr>
          <w:rFonts w:hint="eastAsia" w:ascii="宋体" w:hAnsi="宋体" w:cs="宋体"/>
          <w:sz w:val="24"/>
          <w:szCs w:val="24"/>
        </w:rPr>
        <w:t>投标方必须是在中华人民共和国境内注册的独立法人机构，具有独立承担民事责任能力，且成立三年以上（含，以注册日期开始计算，至开标之日不少于三年）。</w:t>
      </w:r>
    </w:p>
    <w:p w14:paraId="4A3CABBB">
      <w:pPr>
        <w:pStyle w:val="63"/>
        <w:numPr>
          <w:ilvl w:val="0"/>
          <w:numId w:val="10"/>
        </w:numPr>
        <w:adjustRightInd w:val="0"/>
        <w:snapToGrid w:val="0"/>
        <w:spacing w:line="360" w:lineRule="auto"/>
        <w:ind w:firstLineChars="0"/>
        <w:jc w:val="left"/>
        <w:rPr>
          <w:rFonts w:hint="eastAsia" w:ascii="宋体" w:hAnsi="宋体" w:cs="宋体"/>
          <w:sz w:val="24"/>
          <w:szCs w:val="24"/>
        </w:rPr>
      </w:pPr>
      <w:r>
        <w:rPr>
          <w:rFonts w:hint="eastAsia" w:ascii="宋体" w:hAnsi="宋体" w:cs="宋体"/>
          <w:sz w:val="24"/>
          <w:szCs w:val="24"/>
        </w:rPr>
        <w:t>投标方的注册资本不少于</w:t>
      </w:r>
      <w:r>
        <w:rPr>
          <w:rFonts w:hint="eastAsia" w:ascii="宋体" w:hAnsi="宋体" w:cs="宋体"/>
          <w:sz w:val="24"/>
          <w:szCs w:val="24"/>
          <w:lang w:val="en-US" w:eastAsia="zh-CN"/>
        </w:rPr>
        <w:t>10</w:t>
      </w:r>
      <w:r>
        <w:rPr>
          <w:rFonts w:hint="eastAsia" w:ascii="宋体" w:hAnsi="宋体" w:cs="宋体"/>
          <w:sz w:val="24"/>
          <w:szCs w:val="24"/>
        </w:rPr>
        <w:t>万元人民币（或等值其他货币）</w:t>
      </w:r>
      <w:r>
        <w:rPr>
          <w:rFonts w:hint="eastAsia" w:ascii="宋体" w:hAnsi="宋体" w:cs="宋体"/>
          <w:sz w:val="24"/>
          <w:szCs w:val="24"/>
          <w:lang w:eastAsia="zh-CN"/>
        </w:rPr>
        <w:t>，</w:t>
      </w:r>
      <w:r>
        <w:rPr>
          <w:rFonts w:hint="eastAsia" w:ascii="宋体" w:hAnsi="宋体" w:cs="宋体"/>
          <w:sz w:val="24"/>
          <w:szCs w:val="24"/>
          <w:lang w:val="en-US" w:eastAsia="zh-CN"/>
        </w:rPr>
        <w:t>经营范围：含“电机维修、机电设备安装 / 维修、电气设备修理” 等</w:t>
      </w:r>
      <w:r>
        <w:rPr>
          <w:rFonts w:hint="eastAsia" w:ascii="宋体" w:hAnsi="宋体" w:cs="宋体"/>
          <w:sz w:val="24"/>
          <w:szCs w:val="24"/>
        </w:rPr>
        <w:t>。</w:t>
      </w:r>
    </w:p>
    <w:p w14:paraId="643C0B00">
      <w:pPr>
        <w:pStyle w:val="63"/>
        <w:numPr>
          <w:ilvl w:val="0"/>
          <w:numId w:val="10"/>
        </w:numPr>
        <w:adjustRightInd w:val="0"/>
        <w:snapToGrid w:val="0"/>
        <w:spacing w:line="360" w:lineRule="auto"/>
        <w:ind w:firstLineChars="0"/>
        <w:jc w:val="left"/>
        <w:rPr>
          <w:rFonts w:ascii="宋体" w:hAnsi="宋体" w:cs="宋体"/>
          <w:sz w:val="24"/>
          <w:szCs w:val="24"/>
        </w:rPr>
      </w:pPr>
      <w:r>
        <w:rPr>
          <w:rFonts w:hint="eastAsia" w:ascii="宋体" w:hAnsi="宋体" w:cs="宋体"/>
          <w:sz w:val="24"/>
          <w:szCs w:val="24"/>
        </w:rPr>
        <w:t>投标方满足技术、质量、资金等要求，财务状况良好、经营稳定，具有全面履约的能力。</w:t>
      </w:r>
    </w:p>
    <w:p w14:paraId="36E31569">
      <w:pPr>
        <w:pStyle w:val="63"/>
        <w:numPr>
          <w:ilvl w:val="0"/>
          <w:numId w:val="10"/>
        </w:numPr>
        <w:adjustRightInd w:val="0"/>
        <w:snapToGrid w:val="0"/>
        <w:spacing w:line="360" w:lineRule="auto"/>
        <w:ind w:firstLineChars="0"/>
        <w:jc w:val="left"/>
        <w:rPr>
          <w:rFonts w:hint="eastAsia" w:ascii="宋体" w:hAnsi="宋体" w:cs="宋体"/>
          <w:color w:val="auto"/>
          <w:sz w:val="24"/>
          <w:szCs w:val="24"/>
          <w:lang w:val="en-US" w:eastAsia="zh-CN"/>
        </w:rPr>
      </w:pPr>
      <w:r>
        <w:rPr>
          <w:rFonts w:hint="eastAsia" w:ascii="宋体" w:hAnsi="宋体" w:cs="宋体"/>
          <w:color w:val="auto"/>
          <w:sz w:val="24"/>
          <w:szCs w:val="24"/>
          <w:lang w:val="en-US" w:eastAsia="zh-CN"/>
        </w:rPr>
        <w:t>人员资质：具有3人以上5年电机维修技术人员，投标方有专业售后服务团队，满足我司售后服务要求。</w:t>
      </w:r>
    </w:p>
    <w:p w14:paraId="6F0BE993">
      <w:pPr>
        <w:pStyle w:val="63"/>
        <w:numPr>
          <w:ilvl w:val="0"/>
          <w:numId w:val="10"/>
        </w:numPr>
        <w:adjustRightInd w:val="0"/>
        <w:snapToGrid w:val="0"/>
        <w:spacing w:line="360" w:lineRule="auto"/>
        <w:ind w:firstLineChars="0"/>
        <w:jc w:val="left"/>
        <w:rPr>
          <w:rFonts w:hint="eastAsia" w:ascii="宋体" w:hAnsi="宋体" w:cs="宋体"/>
          <w:color w:val="auto"/>
          <w:sz w:val="24"/>
          <w:szCs w:val="24"/>
          <w:lang w:val="en-US" w:eastAsia="zh-CN"/>
        </w:rPr>
      </w:pPr>
      <w:r>
        <w:rPr>
          <w:rFonts w:hint="default" w:ascii="宋体" w:hAnsi="宋体" w:cs="宋体"/>
          <w:color w:val="auto"/>
          <w:sz w:val="24"/>
          <w:szCs w:val="24"/>
          <w:lang w:val="en-US" w:eastAsia="zh-CN"/>
        </w:rPr>
        <w:t>近</w:t>
      </w:r>
      <w:r>
        <w:rPr>
          <w:rFonts w:hint="eastAsia" w:ascii="宋体" w:hAnsi="宋体" w:cs="宋体"/>
          <w:color w:val="auto"/>
          <w:sz w:val="24"/>
          <w:szCs w:val="24"/>
          <w:lang w:val="en-US" w:eastAsia="zh-CN"/>
        </w:rPr>
        <w:t>5</w:t>
      </w:r>
      <w:r>
        <w:rPr>
          <w:rFonts w:hint="default" w:ascii="宋体" w:hAnsi="宋体" w:cs="宋体"/>
          <w:color w:val="auto"/>
          <w:sz w:val="24"/>
          <w:szCs w:val="24"/>
          <w:lang w:val="en-US" w:eastAsia="zh-CN"/>
        </w:rPr>
        <w:t>年同类电机</w:t>
      </w:r>
      <w:r>
        <w:rPr>
          <w:rFonts w:hint="eastAsia" w:ascii="宋体" w:hAnsi="宋体" w:cs="宋体"/>
          <w:color w:val="auto"/>
          <w:sz w:val="24"/>
          <w:szCs w:val="24"/>
          <w:lang w:val="en-US" w:eastAsia="zh-CN"/>
        </w:rPr>
        <w:t>维修</w:t>
      </w:r>
      <w:r>
        <w:rPr>
          <w:rFonts w:hint="default" w:ascii="宋体" w:hAnsi="宋体" w:cs="宋体"/>
          <w:color w:val="auto"/>
          <w:sz w:val="24"/>
          <w:szCs w:val="24"/>
          <w:lang w:val="en-US" w:eastAsia="zh-CN"/>
        </w:rPr>
        <w:t>项目</w:t>
      </w:r>
      <w:r>
        <w:rPr>
          <w:rFonts w:hint="eastAsia" w:ascii="宋体" w:hAnsi="宋体" w:cs="宋体"/>
          <w:color w:val="auto"/>
          <w:sz w:val="24"/>
          <w:szCs w:val="24"/>
          <w:lang w:val="en-US" w:eastAsia="zh-CN"/>
        </w:rPr>
        <w:t>业绩，并提供证明材料。</w:t>
      </w:r>
    </w:p>
    <w:p w14:paraId="367000EA">
      <w:pPr>
        <w:pStyle w:val="63"/>
        <w:numPr>
          <w:ilvl w:val="0"/>
          <w:numId w:val="10"/>
        </w:numPr>
        <w:adjustRightInd w:val="0"/>
        <w:snapToGrid w:val="0"/>
        <w:spacing w:line="360" w:lineRule="auto"/>
        <w:ind w:firstLineChars="0"/>
        <w:jc w:val="left"/>
        <w:rPr>
          <w:rFonts w:ascii="宋体" w:hAnsi="宋体" w:cs="宋体"/>
          <w:sz w:val="24"/>
          <w:szCs w:val="24"/>
        </w:rPr>
      </w:pPr>
      <w:r>
        <w:rPr>
          <w:rFonts w:hint="eastAsia" w:ascii="宋体" w:hAnsi="宋体" w:cs="宋体"/>
          <w:sz w:val="24"/>
          <w:szCs w:val="24"/>
        </w:rPr>
        <w:t>投标方信誉良好，无违法违规等不良行为，近三年内无违法及重大违规记录，未受到过相关行政部门的处罚；</w:t>
      </w:r>
    </w:p>
    <w:p w14:paraId="14A3AA3E">
      <w:pPr>
        <w:pStyle w:val="63"/>
        <w:numPr>
          <w:ilvl w:val="0"/>
          <w:numId w:val="10"/>
        </w:numPr>
        <w:adjustRightInd w:val="0"/>
        <w:snapToGrid w:val="0"/>
        <w:spacing w:line="360" w:lineRule="auto"/>
        <w:ind w:firstLineChars="0"/>
        <w:jc w:val="left"/>
        <w:rPr>
          <w:rFonts w:ascii="宋体" w:hAnsi="宋体" w:cs="宋体"/>
          <w:sz w:val="24"/>
          <w:szCs w:val="24"/>
        </w:rPr>
      </w:pPr>
      <w:r>
        <w:rPr>
          <w:rFonts w:hint="eastAsia" w:ascii="宋体" w:hAnsi="宋体" w:cs="宋体"/>
          <w:sz w:val="24"/>
          <w:szCs w:val="24"/>
        </w:rPr>
        <w:t>无招标违规、谎报年度报告信息、提供虚假资质资料等行为或其他行政处罚记录。</w:t>
      </w:r>
    </w:p>
    <w:p w14:paraId="6689B5F6">
      <w:pPr>
        <w:pStyle w:val="63"/>
        <w:numPr>
          <w:ilvl w:val="0"/>
          <w:numId w:val="10"/>
        </w:numPr>
        <w:adjustRightInd w:val="0"/>
        <w:snapToGrid w:val="0"/>
        <w:spacing w:line="360" w:lineRule="auto"/>
        <w:ind w:firstLineChars="0"/>
        <w:jc w:val="left"/>
        <w:rPr>
          <w:rFonts w:ascii="宋体" w:hAnsi="宋体" w:cs="宋体"/>
          <w:sz w:val="24"/>
          <w:szCs w:val="24"/>
        </w:rPr>
      </w:pPr>
      <w:r>
        <w:rPr>
          <w:rFonts w:hint="eastAsia" w:ascii="宋体" w:hAnsi="宋体" w:cs="宋体"/>
          <w:sz w:val="24"/>
          <w:szCs w:val="24"/>
        </w:rPr>
        <w:t>投标方的直接或间接股东、法定代表人、董事、监事、高管非重汽员工及其亲属。</w:t>
      </w:r>
    </w:p>
    <w:p w14:paraId="1C7BE916">
      <w:pPr>
        <w:pStyle w:val="63"/>
        <w:numPr>
          <w:ilvl w:val="0"/>
          <w:numId w:val="10"/>
        </w:numPr>
        <w:adjustRightInd w:val="0"/>
        <w:snapToGrid w:val="0"/>
        <w:spacing w:line="360" w:lineRule="auto"/>
        <w:ind w:firstLineChars="0"/>
        <w:jc w:val="left"/>
        <w:rPr>
          <w:rFonts w:ascii="宋体" w:hAnsi="宋体" w:cs="宋体"/>
          <w:sz w:val="24"/>
          <w:szCs w:val="24"/>
        </w:rPr>
      </w:pPr>
      <w:r>
        <w:rPr>
          <w:rFonts w:hint="eastAsia" w:ascii="宋体" w:hAnsi="宋体" w:cs="宋体"/>
          <w:sz w:val="24"/>
          <w:szCs w:val="24"/>
        </w:rPr>
        <w:t>没有被中国重汽集团列入黑名单。</w:t>
      </w:r>
    </w:p>
    <w:p w14:paraId="4A2BA76C">
      <w:pPr>
        <w:pStyle w:val="63"/>
        <w:numPr>
          <w:ilvl w:val="0"/>
          <w:numId w:val="10"/>
        </w:numPr>
        <w:adjustRightInd w:val="0"/>
        <w:snapToGrid w:val="0"/>
        <w:spacing w:line="360" w:lineRule="auto"/>
        <w:ind w:firstLineChars="0"/>
        <w:jc w:val="left"/>
        <w:rPr>
          <w:rFonts w:ascii="宋体" w:hAnsi="宋体" w:cs="宋体"/>
          <w:sz w:val="24"/>
          <w:szCs w:val="24"/>
        </w:rPr>
      </w:pPr>
      <w:r>
        <w:rPr>
          <w:rFonts w:hint="eastAsia" w:ascii="宋体" w:hAnsi="宋体" w:cs="宋体"/>
          <w:sz w:val="24"/>
          <w:szCs w:val="24"/>
        </w:rPr>
        <w:t>法律法规对合格投标方的其他要求、规定。</w:t>
      </w:r>
    </w:p>
    <w:p w14:paraId="7837D523">
      <w:pPr>
        <w:pStyle w:val="63"/>
        <w:numPr>
          <w:ilvl w:val="0"/>
          <w:numId w:val="10"/>
        </w:numPr>
        <w:adjustRightInd w:val="0"/>
        <w:snapToGrid w:val="0"/>
        <w:spacing w:line="360" w:lineRule="auto"/>
        <w:ind w:firstLineChars="0"/>
        <w:jc w:val="left"/>
        <w:rPr>
          <w:rFonts w:ascii="宋体" w:hAnsi="宋体"/>
          <w:sz w:val="24"/>
          <w:szCs w:val="24"/>
        </w:rPr>
      </w:pPr>
      <w:r>
        <w:rPr>
          <w:rFonts w:hint="eastAsia" w:ascii="宋体" w:hAnsi="宋体" w:cs="宋体"/>
          <w:sz w:val="24"/>
          <w:szCs w:val="24"/>
        </w:rPr>
        <w:t>不接受联合体投标。</w:t>
      </w:r>
    </w:p>
    <w:p w14:paraId="76DD3D0B">
      <w:pPr>
        <w:pStyle w:val="72"/>
        <w:adjustRightInd w:val="0"/>
        <w:snapToGrid w:val="0"/>
        <w:ind w:left="0" w:firstLine="0"/>
        <w:jc w:val="left"/>
        <w:outlineLvl w:val="9"/>
        <w:rPr>
          <w:rFonts w:ascii="宋体" w:hAnsi="宋体" w:eastAsia="宋体"/>
          <w:sz w:val="24"/>
          <w:szCs w:val="24"/>
        </w:rPr>
      </w:pPr>
      <w:r>
        <w:rPr>
          <w:rFonts w:hint="eastAsia" w:ascii="宋体" w:hAnsi="宋体" w:eastAsia="宋体"/>
          <w:sz w:val="24"/>
          <w:szCs w:val="24"/>
        </w:rPr>
        <w:t>招标文件的领取、答疑、应标及投标报名</w:t>
      </w:r>
    </w:p>
    <w:p w14:paraId="33721F50">
      <w:pPr>
        <w:pStyle w:val="76"/>
        <w:numPr>
          <w:ilvl w:val="0"/>
          <w:numId w:val="11"/>
        </w:numPr>
        <w:adjustRightInd w:val="0"/>
        <w:snapToGrid w:val="0"/>
        <w:rPr>
          <w:rFonts w:hAnsi="宋体"/>
          <w:sz w:val="24"/>
          <w:szCs w:val="24"/>
        </w:rPr>
      </w:pPr>
      <w:r>
        <w:rPr>
          <w:rFonts w:hint="eastAsia" w:hAnsi="宋体"/>
          <w:sz w:val="24"/>
          <w:szCs w:val="24"/>
        </w:rPr>
        <w:t>发标时间：</w:t>
      </w:r>
      <w:r>
        <w:rPr>
          <w:rFonts w:hint="eastAsia" w:hAnsi="宋体"/>
          <w:sz w:val="24"/>
          <w:szCs w:val="24"/>
          <w:u w:val="single"/>
        </w:rPr>
        <w:t>202</w:t>
      </w:r>
      <w:r>
        <w:rPr>
          <w:rFonts w:hAnsi="宋体"/>
          <w:sz w:val="24"/>
          <w:szCs w:val="24"/>
          <w:u w:val="single"/>
        </w:rPr>
        <w:t>6</w:t>
      </w:r>
      <w:r>
        <w:rPr>
          <w:rFonts w:hint="eastAsia" w:hAnsi="宋体"/>
          <w:sz w:val="24"/>
          <w:szCs w:val="24"/>
          <w:u w:val="single"/>
        </w:rPr>
        <w:t>年</w:t>
      </w:r>
      <w:r>
        <w:rPr>
          <w:rFonts w:hint="eastAsia" w:hAnsi="宋体"/>
          <w:sz w:val="24"/>
          <w:szCs w:val="24"/>
          <w:u w:val="single"/>
          <w:lang w:val="en-US" w:eastAsia="zh-CN"/>
        </w:rPr>
        <w:t>6</w:t>
      </w:r>
      <w:r>
        <w:rPr>
          <w:rFonts w:hint="eastAsia" w:hAnsi="宋体"/>
          <w:sz w:val="24"/>
          <w:szCs w:val="24"/>
          <w:u w:val="single"/>
        </w:rPr>
        <w:t>月</w:t>
      </w:r>
      <w:r>
        <w:rPr>
          <w:rFonts w:hint="eastAsia" w:hAnsi="宋体"/>
          <w:sz w:val="24"/>
          <w:szCs w:val="24"/>
          <w:u w:val="single"/>
          <w:lang w:val="en-US" w:eastAsia="zh-CN"/>
        </w:rPr>
        <w:t>23</w:t>
      </w:r>
      <w:r>
        <w:rPr>
          <w:rFonts w:hint="eastAsia" w:hAnsi="宋体"/>
          <w:sz w:val="24"/>
          <w:szCs w:val="24"/>
          <w:u w:val="single"/>
        </w:rPr>
        <w:t>日；</w:t>
      </w:r>
    </w:p>
    <w:p w14:paraId="3B7A53BA">
      <w:pPr>
        <w:pStyle w:val="76"/>
        <w:numPr>
          <w:ilvl w:val="0"/>
          <w:numId w:val="11"/>
        </w:numPr>
        <w:adjustRightInd w:val="0"/>
        <w:snapToGrid w:val="0"/>
        <w:rPr>
          <w:rFonts w:hAnsi="宋体"/>
          <w:sz w:val="24"/>
          <w:szCs w:val="24"/>
          <w:highlight w:val="none"/>
        </w:rPr>
      </w:pPr>
      <w:r>
        <w:rPr>
          <w:rFonts w:hint="eastAsia" w:hAnsi="宋体"/>
          <w:sz w:val="24"/>
          <w:szCs w:val="24"/>
        </w:rPr>
        <w:t>投标报名</w:t>
      </w:r>
    </w:p>
    <w:p w14:paraId="532ED293">
      <w:pPr>
        <w:pStyle w:val="76"/>
        <w:numPr>
          <w:ilvl w:val="0"/>
          <w:numId w:val="12"/>
        </w:numPr>
        <w:adjustRightInd w:val="0"/>
        <w:snapToGrid w:val="0"/>
        <w:rPr>
          <w:rFonts w:hAnsi="宋体"/>
          <w:sz w:val="24"/>
          <w:szCs w:val="24"/>
          <w:highlight w:val="none"/>
        </w:rPr>
      </w:pPr>
      <w:r>
        <w:rPr>
          <w:rFonts w:hint="eastAsia" w:hAnsi="宋体"/>
          <w:sz w:val="24"/>
          <w:szCs w:val="24"/>
          <w:highlight w:val="none"/>
        </w:rPr>
        <w:t>应标截止时间：</w:t>
      </w:r>
      <w:r>
        <w:rPr>
          <w:rFonts w:hint="eastAsia" w:hAnsi="宋体" w:cs="宋体"/>
          <w:sz w:val="24"/>
          <w:szCs w:val="24"/>
          <w:highlight w:val="none"/>
          <w:u w:val="single"/>
        </w:rPr>
        <w:t>2026年</w:t>
      </w:r>
      <w:r>
        <w:rPr>
          <w:rFonts w:hint="eastAsia" w:hAnsi="宋体" w:cs="宋体"/>
          <w:sz w:val="24"/>
          <w:szCs w:val="24"/>
          <w:highlight w:val="none"/>
          <w:u w:val="single"/>
          <w:lang w:val="en-US" w:eastAsia="zh-CN"/>
        </w:rPr>
        <w:t>6</w:t>
      </w:r>
      <w:r>
        <w:rPr>
          <w:rFonts w:hint="eastAsia" w:hAnsi="宋体" w:cs="宋体"/>
          <w:sz w:val="24"/>
          <w:szCs w:val="24"/>
          <w:highlight w:val="none"/>
          <w:u w:val="single"/>
        </w:rPr>
        <w:t>月</w:t>
      </w:r>
      <w:r>
        <w:rPr>
          <w:rFonts w:hint="eastAsia" w:hAnsi="宋体" w:cs="宋体"/>
          <w:sz w:val="24"/>
          <w:szCs w:val="24"/>
          <w:highlight w:val="none"/>
          <w:u w:val="single"/>
          <w:lang w:val="en-US" w:eastAsia="zh-CN"/>
        </w:rPr>
        <w:t>30</w:t>
      </w:r>
      <w:r>
        <w:rPr>
          <w:rFonts w:hint="eastAsia" w:hAnsi="宋体" w:cs="宋体"/>
          <w:sz w:val="24"/>
          <w:szCs w:val="24"/>
          <w:highlight w:val="none"/>
          <w:u w:val="single"/>
        </w:rPr>
        <w:t>日17:00:00（北京时间）</w:t>
      </w:r>
      <w:r>
        <w:rPr>
          <w:rFonts w:hint="eastAsia" w:hAnsi="宋体"/>
          <w:sz w:val="24"/>
          <w:szCs w:val="24"/>
          <w:highlight w:val="none"/>
          <w:u w:val="single"/>
        </w:rPr>
        <w:t>；</w:t>
      </w:r>
    </w:p>
    <w:p w14:paraId="0AB6918B">
      <w:pPr>
        <w:pStyle w:val="76"/>
        <w:numPr>
          <w:ilvl w:val="0"/>
          <w:numId w:val="12"/>
        </w:numPr>
        <w:adjustRightInd w:val="0"/>
        <w:snapToGrid w:val="0"/>
        <w:rPr>
          <w:rFonts w:hAnsi="宋体"/>
          <w:sz w:val="24"/>
          <w:szCs w:val="24"/>
        </w:rPr>
      </w:pPr>
      <w:r>
        <w:rPr>
          <w:rFonts w:hint="eastAsia" w:hAnsi="宋体"/>
          <w:sz w:val="24"/>
          <w:szCs w:val="24"/>
        </w:rPr>
        <w:t>报名方式：</w:t>
      </w:r>
      <w:r>
        <w:rPr>
          <w:rFonts w:hint="eastAsia" w:hAnsi="宋体" w:cs="宋体"/>
          <w:sz w:val="24"/>
          <w:szCs w:val="24"/>
        </w:rPr>
        <w:t>拟投标人根据招标人在中国重汽官网公开媒体上发布的招标信息，</w:t>
      </w:r>
      <w:r>
        <w:rPr>
          <w:rFonts w:hint="eastAsia" w:hAnsi="宋体"/>
          <w:color w:val="000000"/>
          <w:sz w:val="24"/>
          <w:szCs w:val="24"/>
        </w:rPr>
        <w:t>在“中国重汽e采通”平台报名</w:t>
      </w:r>
      <w:r>
        <w:rPr>
          <w:rFonts w:hint="eastAsia" w:hAnsi="宋体" w:cs="宋体"/>
          <w:sz w:val="24"/>
          <w:szCs w:val="24"/>
        </w:rPr>
        <w:t>。</w:t>
      </w:r>
      <w:r>
        <w:rPr>
          <w:rFonts w:hint="eastAsia" w:hAnsi="宋体"/>
          <w:b/>
          <w:bCs/>
          <w:sz w:val="24"/>
          <w:szCs w:val="24"/>
        </w:rPr>
        <w:t>按照中国重汽e采通“SRM非生产供应商注册手册”（附件</w:t>
      </w:r>
      <w:r>
        <w:rPr>
          <w:rFonts w:hAnsi="宋体"/>
          <w:b/>
          <w:bCs/>
          <w:sz w:val="24"/>
          <w:szCs w:val="24"/>
        </w:rPr>
        <w:t>7</w:t>
      </w:r>
      <w:r>
        <w:rPr>
          <w:rFonts w:hint="eastAsia" w:hAnsi="宋体"/>
          <w:b/>
          <w:bCs/>
          <w:sz w:val="24"/>
          <w:szCs w:val="24"/>
        </w:rPr>
        <w:t>）进行注册</w:t>
      </w:r>
      <w:r>
        <w:rPr>
          <w:rFonts w:hint="eastAsia" w:hAnsi="宋体"/>
          <w:sz w:val="24"/>
          <w:szCs w:val="24"/>
        </w:rPr>
        <w:t>，</w:t>
      </w:r>
      <w:r>
        <w:rPr>
          <w:rFonts w:hint="eastAsia" w:hAnsi="宋体"/>
          <w:color w:val="000000"/>
          <w:sz w:val="24"/>
          <w:szCs w:val="24"/>
        </w:rPr>
        <w:t>注册完毕后按照</w:t>
      </w:r>
      <w:r>
        <w:rPr>
          <w:rFonts w:hint="eastAsia" w:hAnsi="宋体" w:cs="宋体"/>
          <w:b/>
          <w:color w:val="000000"/>
          <w:sz w:val="24"/>
          <w:szCs w:val="24"/>
        </w:rPr>
        <w:t>“SRM系统供应商用户手册（附件</w:t>
      </w:r>
      <w:r>
        <w:rPr>
          <w:rFonts w:hAnsi="宋体" w:cs="宋体"/>
          <w:b/>
          <w:color w:val="000000"/>
          <w:sz w:val="24"/>
          <w:szCs w:val="24"/>
        </w:rPr>
        <w:t>8</w:t>
      </w:r>
      <w:r>
        <w:rPr>
          <w:rFonts w:hint="eastAsia" w:hAnsi="宋体" w:cs="宋体"/>
          <w:b/>
          <w:color w:val="000000"/>
          <w:sz w:val="24"/>
          <w:szCs w:val="24"/>
        </w:rPr>
        <w:t>）”，</w:t>
      </w:r>
      <w:r>
        <w:rPr>
          <w:rFonts w:hint="eastAsia" w:hAnsi="宋体"/>
          <w:color w:val="000000"/>
          <w:sz w:val="24"/>
          <w:szCs w:val="24"/>
        </w:rPr>
        <w:t>登录</w:t>
      </w:r>
      <w:r>
        <w:rPr>
          <w:rFonts w:hint="eastAsia" w:hAnsi="宋体" w:cs="宋体"/>
          <w:b/>
          <w:color w:val="000000"/>
          <w:sz w:val="24"/>
          <w:szCs w:val="24"/>
        </w:rPr>
        <w:t>重汽e采通平台</w:t>
      </w:r>
      <w:r>
        <w:rPr>
          <w:rFonts w:hint="eastAsia" w:hAnsi="宋体"/>
          <w:color w:val="000000"/>
          <w:sz w:val="24"/>
          <w:szCs w:val="24"/>
        </w:rPr>
        <w:t>后进入“供应商应标”，选择对应的项目，点击“</w:t>
      </w:r>
      <w:r>
        <w:rPr>
          <w:rFonts w:hint="eastAsia" w:hAnsi="宋体"/>
          <w:b/>
          <w:bCs/>
          <w:color w:val="000000"/>
          <w:sz w:val="24"/>
          <w:szCs w:val="24"/>
        </w:rPr>
        <w:t>应标</w:t>
      </w:r>
      <w:r>
        <w:rPr>
          <w:rFonts w:hint="eastAsia" w:hAnsi="宋体"/>
          <w:color w:val="000000"/>
          <w:sz w:val="24"/>
          <w:szCs w:val="24"/>
        </w:rPr>
        <w:t>”</w:t>
      </w:r>
      <w:r>
        <w:rPr>
          <w:rFonts w:hint="eastAsia" w:hAnsi="宋体"/>
          <w:b/>
          <w:bCs/>
          <w:color w:val="000000"/>
          <w:sz w:val="24"/>
          <w:szCs w:val="24"/>
        </w:rPr>
        <w:t>后按照招标文件中第四部分的“投标文件的编制资质文件”准备资料并上传</w:t>
      </w:r>
      <w:r>
        <w:rPr>
          <w:rFonts w:hint="eastAsia" w:hAnsi="宋体"/>
          <w:color w:val="000000"/>
          <w:sz w:val="24"/>
          <w:szCs w:val="24"/>
        </w:rPr>
        <w:t>，资质审查通过即为报名成功；公示期间请尽快报名</w:t>
      </w:r>
      <w:r>
        <w:rPr>
          <w:rFonts w:hint="eastAsia" w:hAnsi="宋体" w:cs="宋体"/>
          <w:sz w:val="24"/>
          <w:szCs w:val="24"/>
        </w:rPr>
        <w:t>。</w:t>
      </w:r>
    </w:p>
    <w:p w14:paraId="212AABED">
      <w:pPr>
        <w:pStyle w:val="76"/>
        <w:numPr>
          <w:ilvl w:val="0"/>
          <w:numId w:val="12"/>
        </w:numPr>
        <w:adjustRightInd w:val="0"/>
        <w:snapToGrid w:val="0"/>
        <w:rPr>
          <w:rFonts w:hAnsi="宋体"/>
          <w:sz w:val="24"/>
          <w:szCs w:val="24"/>
        </w:rPr>
      </w:pPr>
      <w:r>
        <w:rPr>
          <w:rFonts w:hint="eastAsia" w:hAnsi="宋体" w:cs="宋体"/>
          <w:b/>
          <w:bCs/>
          <w:sz w:val="24"/>
          <w:szCs w:val="24"/>
        </w:rPr>
        <w:t>注：请务必在应标截止时间前完成注册及应标操作，注册审核需2-4日，应标截止时间精确到秒，逾期将无法应标。请自行掌握时间，避免无法应标，请投标人确认中国重汽e采通系统中供应商信息完整、准确，因供应商信息不全或错误导致的报名不成功，由投标人自行承担。</w:t>
      </w:r>
    </w:p>
    <w:p w14:paraId="076260D4">
      <w:pPr>
        <w:pStyle w:val="76"/>
        <w:numPr>
          <w:ilvl w:val="0"/>
          <w:numId w:val="11"/>
        </w:numPr>
        <w:adjustRightInd w:val="0"/>
        <w:snapToGrid w:val="0"/>
        <w:rPr>
          <w:rFonts w:hAnsi="宋体"/>
          <w:sz w:val="24"/>
          <w:szCs w:val="24"/>
        </w:rPr>
      </w:pPr>
      <w:r>
        <w:rPr>
          <w:rFonts w:hint="eastAsia" w:hAnsi="宋体"/>
          <w:sz w:val="24"/>
          <w:szCs w:val="24"/>
        </w:rPr>
        <w:t>招标文件获取</w:t>
      </w:r>
    </w:p>
    <w:p w14:paraId="3DB7F595">
      <w:pPr>
        <w:pStyle w:val="76"/>
        <w:numPr>
          <w:ilvl w:val="1"/>
          <w:numId w:val="13"/>
        </w:numPr>
        <w:adjustRightInd w:val="0"/>
        <w:snapToGrid w:val="0"/>
        <w:ind w:left="420"/>
        <w:rPr>
          <w:rFonts w:hAnsi="宋体"/>
          <w:sz w:val="24"/>
          <w:szCs w:val="24"/>
        </w:rPr>
      </w:pPr>
      <w:r>
        <w:rPr>
          <w:rFonts w:hint="eastAsia" w:hAnsi="宋体"/>
          <w:sz w:val="24"/>
          <w:szCs w:val="24"/>
        </w:rPr>
        <w:t>获取时间：报名成功后；</w:t>
      </w:r>
    </w:p>
    <w:p w14:paraId="690E2945">
      <w:pPr>
        <w:pStyle w:val="76"/>
        <w:numPr>
          <w:ilvl w:val="1"/>
          <w:numId w:val="13"/>
        </w:numPr>
        <w:adjustRightInd w:val="0"/>
        <w:snapToGrid w:val="0"/>
        <w:ind w:left="420"/>
        <w:rPr>
          <w:rFonts w:hAnsi="宋体"/>
          <w:sz w:val="24"/>
          <w:szCs w:val="24"/>
        </w:rPr>
      </w:pPr>
      <w:r>
        <w:rPr>
          <w:rFonts w:hint="eastAsia" w:hAnsi="宋体" w:cs="宋体"/>
          <w:sz w:val="24"/>
          <w:szCs w:val="24"/>
        </w:rPr>
        <w:t>获取方式：</w:t>
      </w:r>
      <w:r>
        <w:rPr>
          <w:rFonts w:hint="eastAsia" w:hAnsi="宋体"/>
          <w:sz w:val="24"/>
          <w:szCs w:val="24"/>
        </w:rPr>
        <w:t>报名成功后，可登录“中国重汽e采通”平台，在“供应商投标”模块下载招标文件。</w:t>
      </w:r>
    </w:p>
    <w:p w14:paraId="63B193D6">
      <w:pPr>
        <w:pStyle w:val="76"/>
        <w:numPr>
          <w:ilvl w:val="0"/>
          <w:numId w:val="11"/>
        </w:numPr>
        <w:adjustRightInd w:val="0"/>
        <w:snapToGrid w:val="0"/>
        <w:rPr>
          <w:rFonts w:hAnsi="宋体"/>
          <w:sz w:val="24"/>
          <w:szCs w:val="24"/>
        </w:rPr>
      </w:pPr>
      <w:r>
        <w:rPr>
          <w:rFonts w:hint="eastAsia" w:hAnsi="宋体"/>
          <w:sz w:val="24"/>
          <w:szCs w:val="24"/>
        </w:rPr>
        <w:t>疑问提交</w:t>
      </w:r>
    </w:p>
    <w:p w14:paraId="1A63DF54">
      <w:pPr>
        <w:pStyle w:val="76"/>
        <w:numPr>
          <w:ilvl w:val="1"/>
          <w:numId w:val="14"/>
        </w:numPr>
        <w:adjustRightInd w:val="0"/>
        <w:snapToGrid w:val="0"/>
        <w:ind w:left="420"/>
        <w:rPr>
          <w:rFonts w:hAnsi="宋体"/>
          <w:sz w:val="24"/>
          <w:szCs w:val="24"/>
        </w:rPr>
      </w:pPr>
      <w:r>
        <w:rPr>
          <w:rFonts w:hint="eastAsia" w:hAnsi="宋体"/>
          <w:sz w:val="24"/>
          <w:szCs w:val="24"/>
        </w:rPr>
        <w:t>提交截止时间：</w:t>
      </w:r>
      <w:r>
        <w:rPr>
          <w:rFonts w:hint="eastAsia" w:hAnsi="宋体"/>
          <w:sz w:val="24"/>
          <w:szCs w:val="24"/>
          <w:u w:val="single"/>
        </w:rPr>
        <w:t>2026年</w:t>
      </w:r>
      <w:r>
        <w:rPr>
          <w:rFonts w:hint="eastAsia" w:hAnsi="宋体"/>
          <w:sz w:val="24"/>
          <w:szCs w:val="24"/>
          <w:u w:val="single"/>
          <w:lang w:val="en-US" w:eastAsia="zh-CN"/>
        </w:rPr>
        <w:t>7</w:t>
      </w:r>
      <w:r>
        <w:rPr>
          <w:rFonts w:hint="eastAsia" w:hAnsi="宋体"/>
          <w:sz w:val="24"/>
          <w:szCs w:val="24"/>
          <w:u w:val="single"/>
        </w:rPr>
        <w:t>月</w:t>
      </w:r>
      <w:r>
        <w:rPr>
          <w:rFonts w:hint="eastAsia" w:hAnsi="宋体"/>
          <w:sz w:val="24"/>
          <w:szCs w:val="24"/>
          <w:u w:val="single"/>
          <w:lang w:val="en-US" w:eastAsia="zh-CN"/>
        </w:rPr>
        <w:t>2</w:t>
      </w:r>
      <w:r>
        <w:rPr>
          <w:rFonts w:hint="eastAsia" w:hAnsi="宋体"/>
          <w:sz w:val="24"/>
          <w:szCs w:val="24"/>
          <w:u w:val="single"/>
        </w:rPr>
        <w:t>日17:00:00（北京时间）；</w:t>
      </w:r>
    </w:p>
    <w:p w14:paraId="640BA070">
      <w:pPr>
        <w:pStyle w:val="76"/>
        <w:numPr>
          <w:ilvl w:val="1"/>
          <w:numId w:val="14"/>
        </w:numPr>
        <w:adjustRightInd w:val="0"/>
        <w:snapToGrid w:val="0"/>
        <w:ind w:left="420"/>
        <w:rPr>
          <w:rFonts w:hAnsi="宋体"/>
          <w:sz w:val="24"/>
          <w:szCs w:val="24"/>
        </w:rPr>
      </w:pPr>
      <w:r>
        <w:rPr>
          <w:rFonts w:hint="eastAsia" w:hAnsi="宋体"/>
          <w:sz w:val="24"/>
          <w:szCs w:val="24"/>
        </w:rPr>
        <w:t>提交方式：将答疑问题以word文件格式发送至联系人邮件内，并电话联系工作人员查收，</w:t>
      </w:r>
      <w:r>
        <w:rPr>
          <w:rFonts w:hint="eastAsia" w:hAnsi="宋体"/>
          <w:b/>
          <w:bCs/>
          <w:sz w:val="24"/>
          <w:szCs w:val="24"/>
        </w:rPr>
        <w:t>邮件名格式为：XXX公司（五个字以内公司简称）XX项目答疑文件。同时必须在邮件中以文字方式提供投标人全称、投标授权人姓名、联系方式（固定电话、手机、电子邮箱），并提供附件1法定代表人授权委托书。</w:t>
      </w:r>
    </w:p>
    <w:p w14:paraId="3771C23C">
      <w:pPr>
        <w:pStyle w:val="76"/>
        <w:numPr>
          <w:ilvl w:val="0"/>
          <w:numId w:val="11"/>
        </w:numPr>
        <w:adjustRightInd w:val="0"/>
        <w:snapToGrid w:val="0"/>
        <w:rPr>
          <w:rFonts w:hAnsi="宋体"/>
          <w:sz w:val="24"/>
          <w:szCs w:val="24"/>
        </w:rPr>
      </w:pPr>
      <w:r>
        <w:rPr>
          <w:rFonts w:hint="eastAsia" w:hAnsi="宋体"/>
          <w:sz w:val="24"/>
          <w:szCs w:val="24"/>
        </w:rPr>
        <w:t>答疑、澄清和修改文件的获取</w:t>
      </w:r>
    </w:p>
    <w:p w14:paraId="757511F1">
      <w:pPr>
        <w:pStyle w:val="76"/>
        <w:numPr>
          <w:ilvl w:val="0"/>
          <w:numId w:val="15"/>
        </w:numPr>
        <w:adjustRightInd w:val="0"/>
        <w:snapToGrid w:val="0"/>
        <w:rPr>
          <w:rFonts w:hAnsi="宋体"/>
          <w:sz w:val="24"/>
          <w:szCs w:val="24"/>
        </w:rPr>
      </w:pPr>
      <w:r>
        <w:rPr>
          <w:rFonts w:hint="eastAsia" w:hAnsi="宋体"/>
          <w:sz w:val="24"/>
          <w:szCs w:val="24"/>
        </w:rPr>
        <w:t>获取时间：</w:t>
      </w:r>
      <w:r>
        <w:rPr>
          <w:rFonts w:hint="eastAsia" w:hAnsi="宋体"/>
          <w:sz w:val="24"/>
          <w:szCs w:val="24"/>
          <w:highlight w:val="none"/>
          <w:u w:val="single"/>
        </w:rPr>
        <w:t>2026年</w:t>
      </w:r>
      <w:r>
        <w:rPr>
          <w:rFonts w:hint="eastAsia" w:hAnsi="宋体"/>
          <w:sz w:val="24"/>
          <w:szCs w:val="24"/>
          <w:highlight w:val="none"/>
          <w:u w:val="single"/>
          <w:lang w:val="en-US" w:eastAsia="zh-CN"/>
        </w:rPr>
        <w:t>7</w:t>
      </w:r>
      <w:r>
        <w:rPr>
          <w:rFonts w:hint="eastAsia" w:hAnsi="宋体"/>
          <w:sz w:val="24"/>
          <w:szCs w:val="24"/>
          <w:highlight w:val="none"/>
          <w:u w:val="single"/>
        </w:rPr>
        <w:t>月</w:t>
      </w:r>
      <w:r>
        <w:rPr>
          <w:rFonts w:hint="eastAsia" w:hAnsi="宋体"/>
          <w:sz w:val="24"/>
          <w:szCs w:val="24"/>
          <w:highlight w:val="none"/>
          <w:u w:val="single"/>
          <w:lang w:val="en-US" w:eastAsia="zh-CN"/>
        </w:rPr>
        <w:t>3</w:t>
      </w:r>
      <w:r>
        <w:rPr>
          <w:rFonts w:hint="eastAsia" w:hAnsi="宋体"/>
          <w:sz w:val="24"/>
          <w:szCs w:val="24"/>
          <w:highlight w:val="none"/>
          <w:u w:val="single"/>
        </w:rPr>
        <w:t>日17:00</w:t>
      </w:r>
      <w:r>
        <w:rPr>
          <w:rFonts w:hint="eastAsia" w:hAnsi="宋体"/>
          <w:sz w:val="24"/>
          <w:szCs w:val="24"/>
          <w:u w:val="single"/>
        </w:rPr>
        <w:t>前；</w:t>
      </w:r>
    </w:p>
    <w:p w14:paraId="51C2F63C">
      <w:pPr>
        <w:pStyle w:val="76"/>
        <w:numPr>
          <w:ilvl w:val="0"/>
          <w:numId w:val="15"/>
        </w:numPr>
        <w:adjustRightInd w:val="0"/>
        <w:snapToGrid w:val="0"/>
        <w:rPr>
          <w:rFonts w:hAnsi="宋体"/>
          <w:sz w:val="24"/>
          <w:szCs w:val="24"/>
        </w:rPr>
      </w:pPr>
      <w:r>
        <w:rPr>
          <w:rFonts w:hint="eastAsia" w:hAnsi="宋体"/>
          <w:sz w:val="24"/>
          <w:szCs w:val="24"/>
        </w:rPr>
        <w:t>获取方式：招标人将以电子邮件的方式将招标文件的答疑澄清文件发送至答疑文件提交时登记的电子邮箱。</w:t>
      </w:r>
    </w:p>
    <w:p w14:paraId="1D95144B">
      <w:pPr>
        <w:pStyle w:val="72"/>
        <w:adjustRightInd w:val="0"/>
        <w:snapToGrid w:val="0"/>
        <w:ind w:left="0" w:firstLine="0"/>
        <w:jc w:val="left"/>
        <w:outlineLvl w:val="9"/>
        <w:rPr>
          <w:rFonts w:ascii="宋体" w:hAnsi="宋体" w:eastAsia="宋体"/>
          <w:sz w:val="24"/>
          <w:szCs w:val="24"/>
        </w:rPr>
      </w:pPr>
      <w:r>
        <w:rPr>
          <w:rFonts w:hint="eastAsia" w:ascii="宋体" w:hAnsi="宋体" w:eastAsia="宋体"/>
          <w:sz w:val="24"/>
          <w:szCs w:val="24"/>
        </w:rPr>
        <w:t>投标文件编制</w:t>
      </w:r>
    </w:p>
    <w:p w14:paraId="66F6E1CC">
      <w:pPr>
        <w:pStyle w:val="72"/>
        <w:numPr>
          <w:ilvl w:val="0"/>
          <w:numId w:val="16"/>
        </w:numPr>
        <w:adjustRightInd w:val="0"/>
        <w:snapToGrid w:val="0"/>
        <w:jc w:val="left"/>
        <w:outlineLvl w:val="9"/>
        <w:rPr>
          <w:rFonts w:ascii="宋体" w:hAnsi="宋体" w:eastAsia="宋体" w:cs="黑体"/>
          <w:b w:val="0"/>
          <w:sz w:val="24"/>
          <w:szCs w:val="24"/>
        </w:rPr>
      </w:pPr>
      <w:r>
        <w:rPr>
          <w:rFonts w:hint="eastAsia" w:ascii="宋体" w:hAnsi="宋体" w:eastAsia="宋体" w:cs="黑体"/>
          <w:b w:val="0"/>
          <w:sz w:val="24"/>
          <w:szCs w:val="24"/>
        </w:rPr>
        <w:t>投标文件的组成</w:t>
      </w:r>
    </w:p>
    <w:p w14:paraId="6B3553A2">
      <w:pPr>
        <w:pStyle w:val="76"/>
        <w:adjustRightInd w:val="0"/>
        <w:snapToGrid w:val="0"/>
        <w:ind w:firstLine="480" w:firstLineChars="200"/>
        <w:rPr>
          <w:rFonts w:hAnsi="宋体"/>
          <w:sz w:val="24"/>
          <w:szCs w:val="24"/>
        </w:rPr>
      </w:pPr>
      <w:r>
        <w:rPr>
          <w:rFonts w:hint="eastAsia" w:hAnsi="宋体"/>
          <w:sz w:val="24"/>
          <w:szCs w:val="24"/>
        </w:rPr>
        <w:t>本项目投标文件为盖章扫描电子版投标文件。投标人编写的投标文件由《投标文件（资质标）》、《投标文件（商务标）》（开标一览表）文件组成，共计</w:t>
      </w:r>
      <w:r>
        <w:rPr>
          <w:rFonts w:hAnsi="宋体"/>
          <w:sz w:val="24"/>
          <w:szCs w:val="24"/>
        </w:rPr>
        <w:t>2</w:t>
      </w:r>
      <w:r>
        <w:rPr>
          <w:rFonts w:hint="eastAsia" w:hAnsi="宋体"/>
          <w:sz w:val="24"/>
          <w:szCs w:val="24"/>
        </w:rPr>
        <w:t>个文件。</w:t>
      </w:r>
    </w:p>
    <w:p w14:paraId="14F77B1D">
      <w:pPr>
        <w:pStyle w:val="76"/>
        <w:numPr>
          <w:ilvl w:val="0"/>
          <w:numId w:val="17"/>
        </w:numPr>
        <w:adjustRightInd w:val="0"/>
        <w:snapToGrid w:val="0"/>
        <w:rPr>
          <w:rFonts w:hAnsi="宋体"/>
          <w:sz w:val="24"/>
          <w:szCs w:val="24"/>
        </w:rPr>
      </w:pPr>
      <w:r>
        <w:rPr>
          <w:rFonts w:hint="eastAsia" w:hAnsi="宋体" w:cs="黑体"/>
          <w:bCs/>
          <w:sz w:val="24"/>
          <w:szCs w:val="24"/>
        </w:rPr>
        <w:t>资质文件</w:t>
      </w:r>
    </w:p>
    <w:p w14:paraId="73285A27">
      <w:pPr>
        <w:pStyle w:val="76"/>
        <w:numPr>
          <w:ilvl w:val="0"/>
          <w:numId w:val="18"/>
        </w:numPr>
        <w:adjustRightInd w:val="0"/>
        <w:snapToGrid w:val="0"/>
        <w:ind w:left="420" w:leftChars="200"/>
        <w:rPr>
          <w:rFonts w:hAnsi="宋体"/>
          <w:sz w:val="24"/>
          <w:szCs w:val="24"/>
        </w:rPr>
      </w:pPr>
      <w:r>
        <w:rPr>
          <w:rFonts w:hint="eastAsia" w:hAnsi="宋体"/>
          <w:sz w:val="24"/>
          <w:szCs w:val="24"/>
        </w:rPr>
        <w:t>营业执照副本原件或复印件</w:t>
      </w:r>
      <w:r>
        <w:rPr>
          <w:rFonts w:hAnsi="宋体"/>
          <w:sz w:val="24"/>
          <w:szCs w:val="24"/>
        </w:rPr>
        <w:t>（需加盖公章）</w:t>
      </w:r>
      <w:r>
        <w:rPr>
          <w:rFonts w:hint="eastAsia" w:hAnsi="宋体"/>
          <w:sz w:val="24"/>
          <w:szCs w:val="24"/>
        </w:rPr>
        <w:t>；</w:t>
      </w:r>
    </w:p>
    <w:p w14:paraId="5D00F8CF">
      <w:pPr>
        <w:pStyle w:val="76"/>
        <w:numPr>
          <w:ilvl w:val="0"/>
          <w:numId w:val="18"/>
        </w:numPr>
        <w:adjustRightInd w:val="0"/>
        <w:snapToGrid w:val="0"/>
        <w:ind w:left="420" w:leftChars="200"/>
        <w:rPr>
          <w:rFonts w:hAnsi="宋体"/>
          <w:sz w:val="24"/>
          <w:szCs w:val="24"/>
        </w:rPr>
      </w:pPr>
      <w:r>
        <w:rPr>
          <w:rFonts w:hAnsi="宋体"/>
          <w:sz w:val="24"/>
          <w:szCs w:val="24"/>
        </w:rPr>
        <w:t>法定代表人授权书（附件</w:t>
      </w:r>
      <w:r>
        <w:rPr>
          <w:rFonts w:hint="eastAsia" w:hAnsi="宋体"/>
          <w:sz w:val="24"/>
          <w:szCs w:val="24"/>
        </w:rPr>
        <w:t>1</w:t>
      </w:r>
      <w:r>
        <w:rPr>
          <w:rFonts w:hAnsi="宋体"/>
          <w:sz w:val="24"/>
          <w:szCs w:val="24"/>
        </w:rPr>
        <w:t>）；法定代表人参加投标的，提供法人身份证明文件即可；被授权人参加投标的，需提供法定代表人授权委托书（含法人身份证和被授权人身份证正反面复印件）</w:t>
      </w:r>
      <w:r>
        <w:rPr>
          <w:rFonts w:hint="eastAsia" w:hAnsi="宋体"/>
          <w:sz w:val="24"/>
          <w:szCs w:val="24"/>
        </w:rPr>
        <w:t>；</w:t>
      </w:r>
    </w:p>
    <w:p w14:paraId="3302C372">
      <w:pPr>
        <w:pStyle w:val="76"/>
        <w:numPr>
          <w:ilvl w:val="0"/>
          <w:numId w:val="18"/>
        </w:numPr>
        <w:adjustRightInd w:val="0"/>
        <w:snapToGrid w:val="0"/>
        <w:ind w:left="420" w:leftChars="200"/>
        <w:rPr>
          <w:rFonts w:hAnsi="宋体"/>
          <w:sz w:val="24"/>
          <w:szCs w:val="24"/>
        </w:rPr>
      </w:pPr>
      <w:r>
        <w:rPr>
          <w:rFonts w:hint="eastAsia" w:hAnsi="宋体"/>
          <w:sz w:val="24"/>
          <w:szCs w:val="24"/>
        </w:rPr>
        <w:t>企业最近半年完税证明、信用证明材料（征信报告）；</w:t>
      </w:r>
    </w:p>
    <w:p w14:paraId="3B5F83FC">
      <w:pPr>
        <w:pStyle w:val="76"/>
        <w:numPr>
          <w:ilvl w:val="0"/>
          <w:numId w:val="18"/>
        </w:numPr>
        <w:adjustRightInd w:val="0"/>
        <w:snapToGrid w:val="0"/>
        <w:ind w:left="420" w:leftChars="200"/>
        <w:rPr>
          <w:rFonts w:hAnsi="宋体"/>
          <w:sz w:val="24"/>
          <w:szCs w:val="24"/>
        </w:rPr>
      </w:pPr>
      <w:r>
        <w:rPr>
          <w:rFonts w:hint="eastAsia" w:hAnsi="宋体"/>
          <w:sz w:val="24"/>
          <w:szCs w:val="24"/>
        </w:rPr>
        <w:t>年度纳税信用评价信息（可从电子税务局查询截图，需加盖公章）；</w:t>
      </w:r>
    </w:p>
    <w:p w14:paraId="4CDCBB24">
      <w:pPr>
        <w:pStyle w:val="76"/>
        <w:numPr>
          <w:ilvl w:val="0"/>
          <w:numId w:val="18"/>
        </w:numPr>
        <w:adjustRightInd w:val="0"/>
        <w:snapToGrid w:val="0"/>
        <w:ind w:left="420" w:leftChars="200"/>
        <w:rPr>
          <w:rFonts w:hAnsi="宋体"/>
          <w:sz w:val="24"/>
          <w:szCs w:val="24"/>
        </w:rPr>
      </w:pPr>
      <w:r>
        <w:rPr>
          <w:rFonts w:hint="eastAsia" w:hAnsi="宋体"/>
          <w:sz w:val="24"/>
          <w:szCs w:val="24"/>
        </w:rPr>
        <w:t>企业对外担保说明（写明贵单位对外有无对外担保和质押业务，需加盖公章）；</w:t>
      </w:r>
    </w:p>
    <w:p w14:paraId="2231585E">
      <w:pPr>
        <w:pStyle w:val="76"/>
        <w:numPr>
          <w:ilvl w:val="0"/>
          <w:numId w:val="18"/>
        </w:numPr>
        <w:adjustRightInd w:val="0"/>
        <w:snapToGrid w:val="0"/>
        <w:ind w:left="420" w:leftChars="200"/>
        <w:rPr>
          <w:rFonts w:hAnsi="宋体"/>
          <w:sz w:val="24"/>
          <w:szCs w:val="24"/>
        </w:rPr>
      </w:pPr>
      <w:r>
        <w:rPr>
          <w:rFonts w:hAnsi="宋体"/>
          <w:sz w:val="24"/>
          <w:szCs w:val="24"/>
        </w:rPr>
        <w:t>投标人在国家企业信用信息公示系统中无与本项目有关的行政处罚、经营异常和失信信息的声明（附投标当日系统内相关截图）</w:t>
      </w:r>
      <w:r>
        <w:rPr>
          <w:rFonts w:hint="eastAsia" w:hAnsi="宋体"/>
          <w:sz w:val="24"/>
          <w:szCs w:val="24"/>
        </w:rPr>
        <w:t>；</w:t>
      </w:r>
    </w:p>
    <w:p w14:paraId="0D27CFF7">
      <w:pPr>
        <w:pStyle w:val="76"/>
        <w:numPr>
          <w:ilvl w:val="0"/>
          <w:numId w:val="18"/>
        </w:numPr>
        <w:adjustRightInd w:val="0"/>
        <w:snapToGrid w:val="0"/>
        <w:ind w:left="420" w:leftChars="200"/>
        <w:rPr>
          <w:rFonts w:hAnsi="宋体"/>
          <w:color w:val="auto"/>
          <w:sz w:val="24"/>
          <w:szCs w:val="24"/>
        </w:rPr>
      </w:pPr>
      <w:r>
        <w:rPr>
          <w:rFonts w:hAnsi="宋体"/>
          <w:color w:val="auto"/>
          <w:sz w:val="24"/>
          <w:szCs w:val="24"/>
        </w:rPr>
        <w:t>保密承诺函（附件2，需</w:t>
      </w:r>
      <w:r>
        <w:rPr>
          <w:rFonts w:hint="eastAsia" w:hAnsi="宋体"/>
          <w:color w:val="auto"/>
          <w:sz w:val="24"/>
          <w:szCs w:val="24"/>
        </w:rPr>
        <w:t>加</w:t>
      </w:r>
      <w:r>
        <w:rPr>
          <w:rFonts w:hAnsi="宋体"/>
          <w:color w:val="auto"/>
          <w:sz w:val="24"/>
          <w:szCs w:val="24"/>
        </w:rPr>
        <w:t>盖章）</w:t>
      </w:r>
      <w:r>
        <w:rPr>
          <w:rFonts w:hint="eastAsia" w:hAnsi="宋体"/>
          <w:color w:val="auto"/>
          <w:sz w:val="24"/>
          <w:szCs w:val="24"/>
        </w:rPr>
        <w:t>；</w:t>
      </w:r>
    </w:p>
    <w:p w14:paraId="220A2614">
      <w:pPr>
        <w:pStyle w:val="76"/>
        <w:numPr>
          <w:ilvl w:val="0"/>
          <w:numId w:val="18"/>
        </w:numPr>
        <w:adjustRightInd w:val="0"/>
        <w:snapToGrid w:val="0"/>
        <w:ind w:left="420" w:leftChars="200"/>
        <w:rPr>
          <w:rFonts w:hAnsi="宋体"/>
          <w:color w:val="auto"/>
          <w:sz w:val="24"/>
          <w:szCs w:val="24"/>
        </w:rPr>
      </w:pPr>
      <w:r>
        <w:rPr>
          <w:rFonts w:hint="eastAsia" w:ascii="宋体" w:hAnsi="宋体" w:cs="宋体"/>
          <w:color w:val="auto"/>
          <w:sz w:val="24"/>
          <w:szCs w:val="24"/>
          <w:lang w:val="en-US" w:eastAsia="zh-CN"/>
        </w:rPr>
        <w:t>电机维修技术人员</w:t>
      </w:r>
      <w:r>
        <w:rPr>
          <w:rFonts w:hint="eastAsia" w:hAnsi="宋体" w:cs="宋体"/>
          <w:color w:val="auto"/>
          <w:sz w:val="24"/>
          <w:szCs w:val="24"/>
          <w:lang w:val="en-US" w:eastAsia="zh-CN"/>
        </w:rPr>
        <w:t>清单；</w:t>
      </w:r>
    </w:p>
    <w:p w14:paraId="2CAB11FD">
      <w:pPr>
        <w:pStyle w:val="76"/>
        <w:numPr>
          <w:ilvl w:val="0"/>
          <w:numId w:val="18"/>
        </w:numPr>
        <w:adjustRightInd w:val="0"/>
        <w:snapToGrid w:val="0"/>
        <w:ind w:left="420" w:leftChars="200"/>
        <w:rPr>
          <w:rFonts w:hAnsi="宋体"/>
          <w:color w:val="auto"/>
          <w:sz w:val="24"/>
          <w:szCs w:val="24"/>
        </w:rPr>
      </w:pPr>
      <w:r>
        <w:rPr>
          <w:rFonts w:hint="default" w:ascii="宋体" w:hAnsi="宋体" w:cs="宋体"/>
          <w:color w:val="auto"/>
          <w:sz w:val="24"/>
          <w:szCs w:val="24"/>
          <w:lang w:val="en-US" w:eastAsia="zh-CN"/>
        </w:rPr>
        <w:t>近</w:t>
      </w:r>
      <w:r>
        <w:rPr>
          <w:rFonts w:hint="eastAsia" w:ascii="宋体" w:hAnsi="宋体" w:cs="宋体"/>
          <w:color w:val="auto"/>
          <w:sz w:val="24"/>
          <w:szCs w:val="24"/>
          <w:lang w:val="en-US" w:eastAsia="zh-CN"/>
        </w:rPr>
        <w:t>5</w:t>
      </w:r>
      <w:r>
        <w:rPr>
          <w:rFonts w:hint="default" w:ascii="宋体" w:hAnsi="宋体" w:cs="宋体"/>
          <w:color w:val="auto"/>
          <w:sz w:val="24"/>
          <w:szCs w:val="24"/>
          <w:lang w:val="en-US" w:eastAsia="zh-CN"/>
        </w:rPr>
        <w:t>年同类电机</w:t>
      </w:r>
      <w:r>
        <w:rPr>
          <w:rFonts w:hint="eastAsia" w:ascii="宋体" w:hAnsi="宋体" w:cs="宋体"/>
          <w:color w:val="auto"/>
          <w:sz w:val="24"/>
          <w:szCs w:val="24"/>
          <w:lang w:val="en-US" w:eastAsia="zh-CN"/>
        </w:rPr>
        <w:t>维修</w:t>
      </w:r>
      <w:r>
        <w:rPr>
          <w:rFonts w:hint="default" w:ascii="宋体" w:hAnsi="宋体" w:cs="宋体"/>
          <w:color w:val="auto"/>
          <w:sz w:val="24"/>
          <w:szCs w:val="24"/>
          <w:lang w:val="en-US" w:eastAsia="zh-CN"/>
        </w:rPr>
        <w:t>项目</w:t>
      </w:r>
      <w:r>
        <w:rPr>
          <w:rFonts w:hint="eastAsia" w:ascii="宋体" w:hAnsi="宋体" w:cs="宋体"/>
          <w:color w:val="auto"/>
          <w:sz w:val="24"/>
          <w:szCs w:val="24"/>
          <w:lang w:val="en-US" w:eastAsia="zh-CN"/>
        </w:rPr>
        <w:t>业绩证明材料</w:t>
      </w:r>
      <w:r>
        <w:rPr>
          <w:rFonts w:hint="eastAsia" w:hAnsi="宋体" w:cs="宋体"/>
          <w:color w:val="auto"/>
          <w:sz w:val="24"/>
          <w:szCs w:val="24"/>
          <w:lang w:val="en-US" w:eastAsia="zh-CN"/>
        </w:rPr>
        <w:t>；</w:t>
      </w:r>
    </w:p>
    <w:p w14:paraId="4FF2BB90">
      <w:pPr>
        <w:pStyle w:val="76"/>
        <w:numPr>
          <w:ilvl w:val="0"/>
          <w:numId w:val="18"/>
        </w:numPr>
        <w:adjustRightInd w:val="0"/>
        <w:snapToGrid w:val="0"/>
        <w:ind w:left="420" w:leftChars="200"/>
        <w:rPr>
          <w:rFonts w:hAnsi="宋体"/>
          <w:b/>
          <w:bCs/>
          <w:sz w:val="24"/>
          <w:szCs w:val="24"/>
        </w:rPr>
      </w:pPr>
      <w:r>
        <w:rPr>
          <w:rFonts w:hint="eastAsia" w:hAnsi="宋体"/>
          <w:b/>
          <w:bCs/>
          <w:sz w:val="24"/>
          <w:szCs w:val="24"/>
        </w:rPr>
        <w:t>对于投标人资质审核不通过的，招标人有权拒绝其投标。</w:t>
      </w:r>
    </w:p>
    <w:p w14:paraId="34900122">
      <w:pPr>
        <w:pStyle w:val="76"/>
        <w:numPr>
          <w:ilvl w:val="0"/>
          <w:numId w:val="17"/>
        </w:numPr>
        <w:adjustRightInd w:val="0"/>
        <w:snapToGrid w:val="0"/>
        <w:rPr>
          <w:rFonts w:hAnsi="宋体" w:cs="黑体"/>
          <w:bCs/>
          <w:sz w:val="24"/>
          <w:szCs w:val="24"/>
        </w:rPr>
      </w:pPr>
      <w:r>
        <w:rPr>
          <w:rFonts w:hint="eastAsia" w:hAnsi="宋体" w:cs="黑体"/>
          <w:bCs/>
          <w:sz w:val="24"/>
          <w:szCs w:val="24"/>
        </w:rPr>
        <w:t>商务标</w:t>
      </w:r>
    </w:p>
    <w:p w14:paraId="71C9D613">
      <w:pPr>
        <w:pStyle w:val="76"/>
        <w:numPr>
          <w:ilvl w:val="0"/>
          <w:numId w:val="19"/>
        </w:numPr>
        <w:adjustRightInd w:val="0"/>
        <w:snapToGrid w:val="0"/>
        <w:ind w:left="420" w:leftChars="200"/>
        <w:rPr>
          <w:rFonts w:hAnsi="宋体"/>
          <w:sz w:val="24"/>
          <w:szCs w:val="24"/>
        </w:rPr>
      </w:pPr>
      <w:r>
        <w:rPr>
          <w:rFonts w:hint="eastAsia" w:hAnsi="宋体"/>
          <w:sz w:val="24"/>
          <w:szCs w:val="24"/>
        </w:rPr>
        <w:t>开标一览表（附件</w:t>
      </w:r>
      <w:r>
        <w:rPr>
          <w:rFonts w:hAnsi="宋体"/>
          <w:sz w:val="24"/>
          <w:szCs w:val="24"/>
        </w:rPr>
        <w:t>3</w:t>
      </w:r>
      <w:r>
        <w:rPr>
          <w:rFonts w:hint="eastAsia" w:hAnsi="宋体"/>
          <w:sz w:val="24"/>
          <w:szCs w:val="24"/>
        </w:rPr>
        <w:t>）；</w:t>
      </w:r>
    </w:p>
    <w:p w14:paraId="76955788">
      <w:pPr>
        <w:pStyle w:val="76"/>
        <w:numPr>
          <w:ilvl w:val="0"/>
          <w:numId w:val="19"/>
        </w:numPr>
        <w:adjustRightInd w:val="0"/>
        <w:snapToGrid w:val="0"/>
        <w:ind w:left="420" w:leftChars="200"/>
        <w:rPr>
          <w:rFonts w:hAnsi="宋体"/>
          <w:sz w:val="24"/>
          <w:szCs w:val="24"/>
        </w:rPr>
      </w:pPr>
      <w:r>
        <w:rPr>
          <w:rFonts w:hint="eastAsia" w:hAnsi="宋体"/>
          <w:sz w:val="24"/>
          <w:szCs w:val="24"/>
        </w:rPr>
        <w:t>投标函（附件</w:t>
      </w:r>
      <w:r>
        <w:rPr>
          <w:rFonts w:hAnsi="宋体"/>
          <w:sz w:val="24"/>
          <w:szCs w:val="24"/>
        </w:rPr>
        <w:t>4</w:t>
      </w:r>
      <w:r>
        <w:rPr>
          <w:rFonts w:hint="eastAsia" w:hAnsi="宋体"/>
          <w:sz w:val="24"/>
          <w:szCs w:val="24"/>
        </w:rPr>
        <w:t>）；</w:t>
      </w:r>
    </w:p>
    <w:p w14:paraId="06335811">
      <w:pPr>
        <w:pStyle w:val="76"/>
        <w:numPr>
          <w:ilvl w:val="0"/>
          <w:numId w:val="19"/>
        </w:numPr>
        <w:adjustRightInd w:val="0"/>
        <w:snapToGrid w:val="0"/>
        <w:ind w:left="420" w:leftChars="200"/>
        <w:rPr>
          <w:rFonts w:hAnsi="宋体"/>
          <w:sz w:val="24"/>
          <w:szCs w:val="24"/>
        </w:rPr>
      </w:pPr>
      <w:r>
        <w:rPr>
          <w:rFonts w:hint="eastAsia" w:hAnsi="宋体"/>
          <w:sz w:val="24"/>
          <w:szCs w:val="24"/>
        </w:rPr>
        <w:t>招标条款偏离表（附件</w:t>
      </w:r>
      <w:r>
        <w:rPr>
          <w:rFonts w:hAnsi="宋体"/>
          <w:sz w:val="24"/>
          <w:szCs w:val="24"/>
        </w:rPr>
        <w:t>5</w:t>
      </w:r>
      <w:r>
        <w:rPr>
          <w:rFonts w:hint="eastAsia" w:hAnsi="宋体"/>
          <w:sz w:val="24"/>
          <w:szCs w:val="24"/>
        </w:rPr>
        <w:t>）</w:t>
      </w:r>
      <w:r>
        <w:rPr>
          <w:rFonts w:hint="eastAsia" w:hAnsi="宋体"/>
          <w:sz w:val="24"/>
          <w:szCs w:val="24"/>
          <w:lang w:eastAsia="zh-CN"/>
        </w:rPr>
        <w:t>。</w:t>
      </w:r>
    </w:p>
    <w:p w14:paraId="544DF5AD">
      <w:pPr>
        <w:pStyle w:val="72"/>
        <w:numPr>
          <w:ilvl w:val="0"/>
          <w:numId w:val="16"/>
        </w:numPr>
        <w:adjustRightInd w:val="0"/>
        <w:snapToGrid w:val="0"/>
        <w:jc w:val="left"/>
        <w:outlineLvl w:val="9"/>
        <w:rPr>
          <w:rFonts w:ascii="宋体" w:hAnsi="宋体" w:eastAsia="宋体" w:cs="黑体"/>
          <w:b w:val="0"/>
          <w:sz w:val="24"/>
          <w:szCs w:val="24"/>
        </w:rPr>
      </w:pPr>
      <w:r>
        <w:rPr>
          <w:rFonts w:hint="eastAsia" w:ascii="宋体" w:hAnsi="宋体" w:eastAsia="宋体" w:cs="黑体"/>
          <w:b w:val="0"/>
          <w:sz w:val="24"/>
          <w:szCs w:val="24"/>
        </w:rPr>
        <w:t>投标文件的投递</w:t>
      </w:r>
    </w:p>
    <w:p w14:paraId="5DE64BF7">
      <w:pPr>
        <w:pStyle w:val="76"/>
        <w:numPr>
          <w:ilvl w:val="0"/>
          <w:numId w:val="20"/>
        </w:numPr>
        <w:adjustRightInd w:val="0"/>
        <w:snapToGrid w:val="0"/>
        <w:rPr>
          <w:rFonts w:hAnsi="宋体"/>
          <w:sz w:val="24"/>
          <w:szCs w:val="24"/>
        </w:rPr>
      </w:pPr>
      <w:r>
        <w:rPr>
          <w:rFonts w:hint="eastAsia" w:hAnsi="宋体"/>
          <w:sz w:val="24"/>
          <w:szCs w:val="24"/>
        </w:rPr>
        <w:t>投标方式：在中国重汽e采通平台应标成功后，进入“供应商投标”环节，投递盖章扫描版电子标书（包含资质标书、商务标书）用“公司名称+文件名称”命名。</w:t>
      </w:r>
      <w:r>
        <w:rPr>
          <w:rFonts w:hint="eastAsia" w:hAnsi="宋体"/>
          <w:b/>
          <w:bCs/>
          <w:sz w:val="24"/>
          <w:szCs w:val="24"/>
        </w:rPr>
        <w:t>若逾期未在中国重汽e采通平台上传电子标书，即便递交了纸版投标文件，一律视为无效投标。</w:t>
      </w:r>
    </w:p>
    <w:p w14:paraId="3D508BF2">
      <w:pPr>
        <w:pStyle w:val="76"/>
        <w:numPr>
          <w:ilvl w:val="0"/>
          <w:numId w:val="20"/>
        </w:numPr>
        <w:adjustRightInd w:val="0"/>
        <w:snapToGrid w:val="0"/>
        <w:rPr>
          <w:rFonts w:hAnsi="宋体"/>
          <w:sz w:val="24"/>
          <w:szCs w:val="24"/>
        </w:rPr>
      </w:pPr>
      <w:r>
        <w:rPr>
          <w:rFonts w:hint="eastAsia" w:hAnsi="宋体"/>
          <w:sz w:val="24"/>
          <w:szCs w:val="24"/>
        </w:rPr>
        <w:t>投标文件递交截止时间：</w:t>
      </w:r>
      <w:r>
        <w:rPr>
          <w:rFonts w:hint="eastAsia" w:hAnsi="宋体"/>
          <w:sz w:val="24"/>
          <w:szCs w:val="24"/>
          <w:highlight w:val="none"/>
          <w:u w:val="single"/>
        </w:rPr>
        <w:t>2026年</w:t>
      </w:r>
      <w:r>
        <w:rPr>
          <w:rFonts w:hint="eastAsia" w:hAnsi="宋体"/>
          <w:sz w:val="24"/>
          <w:szCs w:val="24"/>
          <w:highlight w:val="none"/>
          <w:u w:val="single"/>
          <w:lang w:val="en-US" w:eastAsia="zh-CN"/>
        </w:rPr>
        <w:t>7</w:t>
      </w:r>
      <w:r>
        <w:rPr>
          <w:rFonts w:hint="eastAsia" w:hAnsi="宋体"/>
          <w:sz w:val="24"/>
          <w:szCs w:val="24"/>
          <w:highlight w:val="none"/>
          <w:u w:val="single"/>
        </w:rPr>
        <w:t>月</w:t>
      </w:r>
      <w:r>
        <w:rPr>
          <w:rFonts w:hint="eastAsia" w:hAnsi="宋体"/>
          <w:sz w:val="24"/>
          <w:szCs w:val="24"/>
          <w:highlight w:val="none"/>
          <w:u w:val="single"/>
          <w:lang w:val="en-US" w:eastAsia="zh-CN"/>
        </w:rPr>
        <w:t>8</w:t>
      </w:r>
      <w:r>
        <w:rPr>
          <w:rFonts w:hint="eastAsia" w:hAnsi="宋体"/>
          <w:sz w:val="24"/>
          <w:szCs w:val="24"/>
          <w:highlight w:val="none"/>
          <w:u w:val="single"/>
        </w:rPr>
        <w:t>日17:00:00（北京时间）</w:t>
      </w:r>
    </w:p>
    <w:p w14:paraId="4908A9F0">
      <w:pPr>
        <w:pStyle w:val="72"/>
        <w:adjustRightInd w:val="0"/>
        <w:snapToGrid w:val="0"/>
        <w:ind w:left="0" w:firstLine="0"/>
        <w:jc w:val="left"/>
        <w:outlineLvl w:val="9"/>
        <w:rPr>
          <w:rFonts w:ascii="宋体" w:hAnsi="宋体" w:eastAsia="宋体"/>
          <w:sz w:val="24"/>
          <w:szCs w:val="24"/>
        </w:rPr>
      </w:pPr>
      <w:bookmarkStart w:id="5" w:name="_Toc47976601"/>
      <w:r>
        <w:rPr>
          <w:rFonts w:hint="eastAsia" w:ascii="宋体" w:hAnsi="宋体" w:eastAsia="宋体"/>
          <w:sz w:val="24"/>
          <w:szCs w:val="24"/>
        </w:rPr>
        <w:t>投标保证金收取、缴纳有效期及罚没</w:t>
      </w:r>
    </w:p>
    <w:p w14:paraId="36A403B5">
      <w:pPr>
        <w:pStyle w:val="72"/>
        <w:numPr>
          <w:ilvl w:val="0"/>
          <w:numId w:val="21"/>
        </w:numPr>
        <w:adjustRightInd w:val="0"/>
        <w:snapToGrid w:val="0"/>
        <w:jc w:val="left"/>
        <w:outlineLvl w:val="9"/>
        <w:rPr>
          <w:rFonts w:ascii="宋体" w:hAnsi="宋体" w:eastAsia="宋体" w:cs="黑体"/>
          <w:b w:val="0"/>
          <w:bCs w:val="0"/>
          <w:sz w:val="24"/>
          <w:szCs w:val="24"/>
          <w:u w:val="single"/>
        </w:rPr>
      </w:pPr>
      <w:r>
        <w:rPr>
          <w:rFonts w:hint="eastAsia" w:ascii="宋体" w:hAnsi="宋体" w:eastAsia="宋体" w:cs="黑体"/>
          <w:b w:val="0"/>
          <w:bCs w:val="0"/>
          <w:sz w:val="24"/>
          <w:szCs w:val="24"/>
        </w:rPr>
        <w:t>投标保证金的缴纳</w:t>
      </w:r>
    </w:p>
    <w:p w14:paraId="036A308B">
      <w:pPr>
        <w:pStyle w:val="76"/>
        <w:numPr>
          <w:ilvl w:val="0"/>
          <w:numId w:val="22"/>
        </w:numPr>
        <w:adjustRightInd w:val="0"/>
        <w:snapToGrid w:val="0"/>
        <w:rPr>
          <w:rFonts w:hAnsi="宋体" w:cs="宋体"/>
          <w:sz w:val="24"/>
          <w:szCs w:val="24"/>
          <w:u w:val="single"/>
        </w:rPr>
      </w:pPr>
      <w:r>
        <w:rPr>
          <w:rFonts w:hint="eastAsia" w:hAnsi="宋体" w:cs="宋体"/>
          <w:sz w:val="24"/>
          <w:szCs w:val="24"/>
        </w:rPr>
        <w:t>投标保证金的缴纳形式：</w:t>
      </w:r>
      <w:r>
        <w:rPr>
          <w:rFonts w:hint="eastAsia" w:hAnsi="宋体" w:cs="宋体"/>
          <w:sz w:val="24"/>
          <w:szCs w:val="24"/>
          <w:u w:val="single"/>
        </w:rPr>
        <w:t>提交银行投标保函或从银行基本账户转账</w:t>
      </w:r>
    </w:p>
    <w:p w14:paraId="7BE8C651">
      <w:pPr>
        <w:pStyle w:val="76"/>
        <w:numPr>
          <w:ilvl w:val="0"/>
          <w:numId w:val="22"/>
        </w:numPr>
        <w:adjustRightInd w:val="0"/>
        <w:snapToGrid w:val="0"/>
        <w:rPr>
          <w:rFonts w:hAnsi="宋体" w:cs="宋体"/>
          <w:sz w:val="24"/>
          <w:szCs w:val="24"/>
          <w:u w:val="single"/>
        </w:rPr>
      </w:pPr>
      <w:r>
        <w:rPr>
          <w:rFonts w:hint="eastAsia" w:hAnsi="宋体" w:cs="宋体"/>
          <w:sz w:val="24"/>
          <w:szCs w:val="24"/>
        </w:rPr>
        <w:t>选择提交银行投标保函的拟投标人，应在开标时提交投标保函正本，作为《投标文件》的一部分，该投标保函应是不可撤销的“见索即付”保函，保函有效期应满足投标有效期要求，由招标人留存保函正本。</w:t>
      </w:r>
    </w:p>
    <w:p w14:paraId="6F4E99A7">
      <w:pPr>
        <w:pStyle w:val="76"/>
        <w:numPr>
          <w:ilvl w:val="0"/>
          <w:numId w:val="22"/>
        </w:numPr>
        <w:adjustRightInd w:val="0"/>
        <w:snapToGrid w:val="0"/>
        <w:rPr>
          <w:rFonts w:hAnsi="宋体" w:cs="宋体"/>
          <w:sz w:val="24"/>
          <w:szCs w:val="24"/>
          <w:u w:val="single"/>
        </w:rPr>
      </w:pPr>
      <w:r>
        <w:rPr>
          <w:rFonts w:hint="eastAsia" w:hAnsi="宋体" w:cs="宋体"/>
          <w:sz w:val="24"/>
          <w:szCs w:val="24"/>
        </w:rPr>
        <w:t>选择从银行基本账户转账的拟投标人，须在规定的时间之前将投标保证金从其单位基本帐户转出并到账，否则视为无效投标；未按规定提交保证金的拟投标人，其投标文件视为无效投标。拟投标人应充分考虑银行信息交换时间，由此带来的保证金不能按时到帐的责任由拟投标人自行承担。</w:t>
      </w:r>
    </w:p>
    <w:p w14:paraId="4FAB5728">
      <w:pPr>
        <w:pStyle w:val="76"/>
        <w:numPr>
          <w:ilvl w:val="0"/>
          <w:numId w:val="21"/>
        </w:numPr>
        <w:adjustRightInd w:val="0"/>
        <w:snapToGrid w:val="0"/>
        <w:rPr>
          <w:rFonts w:hAnsi="宋体"/>
          <w:sz w:val="24"/>
          <w:szCs w:val="24"/>
        </w:rPr>
      </w:pPr>
      <w:r>
        <w:rPr>
          <w:rFonts w:hint="eastAsia" w:hAnsi="宋体"/>
          <w:sz w:val="24"/>
          <w:szCs w:val="24"/>
        </w:rPr>
        <w:t>投标保证金的金额：人民币</w:t>
      </w:r>
      <w:r>
        <w:rPr>
          <w:rFonts w:hint="eastAsia" w:hAnsi="宋体"/>
          <w:sz w:val="24"/>
          <w:szCs w:val="24"/>
          <w:lang w:val="en-US" w:eastAsia="zh-CN"/>
        </w:rPr>
        <w:t>500</w:t>
      </w:r>
      <w:r>
        <w:rPr>
          <w:rFonts w:hint="eastAsia" w:hAnsi="宋体"/>
          <w:sz w:val="24"/>
          <w:szCs w:val="24"/>
        </w:rPr>
        <w:t>0元</w:t>
      </w:r>
    </w:p>
    <w:p w14:paraId="27EB3A5B">
      <w:pPr>
        <w:pStyle w:val="76"/>
        <w:adjustRightInd w:val="0"/>
        <w:snapToGrid w:val="0"/>
        <w:ind w:left="420" w:leftChars="200"/>
        <w:rPr>
          <w:rFonts w:hAnsi="宋体"/>
          <w:sz w:val="24"/>
          <w:szCs w:val="24"/>
        </w:rPr>
      </w:pPr>
      <w:r>
        <w:rPr>
          <w:rFonts w:hint="eastAsia" w:hAnsi="宋体"/>
          <w:sz w:val="24"/>
          <w:szCs w:val="24"/>
        </w:rPr>
        <w:t>单位名称：重汽（重庆）轻型汽车有限公司</w:t>
      </w:r>
    </w:p>
    <w:p w14:paraId="50903C90">
      <w:pPr>
        <w:pStyle w:val="76"/>
        <w:adjustRightInd w:val="0"/>
        <w:snapToGrid w:val="0"/>
        <w:ind w:left="420" w:leftChars="200"/>
        <w:rPr>
          <w:rFonts w:hAnsi="宋体"/>
          <w:sz w:val="24"/>
          <w:szCs w:val="24"/>
        </w:rPr>
      </w:pPr>
      <w:r>
        <w:rPr>
          <w:rFonts w:hint="eastAsia" w:hAnsi="宋体"/>
          <w:sz w:val="24"/>
          <w:szCs w:val="24"/>
        </w:rPr>
        <w:t>收款账号：8112501012801267437</w:t>
      </w:r>
    </w:p>
    <w:p w14:paraId="382D6AE7">
      <w:pPr>
        <w:pStyle w:val="76"/>
        <w:adjustRightInd w:val="0"/>
        <w:snapToGrid w:val="0"/>
        <w:ind w:left="420" w:leftChars="200"/>
        <w:rPr>
          <w:rFonts w:hAnsi="宋体"/>
          <w:sz w:val="24"/>
          <w:szCs w:val="24"/>
        </w:rPr>
      </w:pPr>
      <w:r>
        <w:rPr>
          <w:rFonts w:hint="eastAsia" w:hAnsi="宋体"/>
          <w:sz w:val="24"/>
          <w:szCs w:val="24"/>
        </w:rPr>
        <w:t>开户行名称：中信银行济南舜耕支行</w:t>
      </w:r>
    </w:p>
    <w:p w14:paraId="3654FEB5">
      <w:pPr>
        <w:pStyle w:val="76"/>
        <w:adjustRightInd w:val="0"/>
        <w:snapToGrid w:val="0"/>
        <w:ind w:left="420" w:leftChars="200"/>
        <w:rPr>
          <w:rFonts w:hAnsi="宋体"/>
          <w:sz w:val="24"/>
          <w:szCs w:val="24"/>
        </w:rPr>
      </w:pPr>
      <w:r>
        <w:rPr>
          <w:rFonts w:hint="eastAsia" w:hAnsi="宋体"/>
          <w:sz w:val="24"/>
          <w:szCs w:val="24"/>
        </w:rPr>
        <w:t>开户行行号：302451037264</w:t>
      </w:r>
    </w:p>
    <w:p w14:paraId="52762AC3">
      <w:pPr>
        <w:pStyle w:val="76"/>
        <w:adjustRightInd w:val="0"/>
        <w:snapToGrid w:val="0"/>
        <w:ind w:left="420" w:leftChars="200"/>
        <w:rPr>
          <w:rFonts w:hAnsi="宋体"/>
          <w:b/>
          <w:bCs/>
          <w:sz w:val="24"/>
          <w:szCs w:val="24"/>
        </w:rPr>
      </w:pPr>
      <w:r>
        <w:rPr>
          <w:rFonts w:hint="eastAsia" w:hAnsi="宋体"/>
          <w:b/>
          <w:bCs/>
          <w:sz w:val="24"/>
          <w:szCs w:val="24"/>
        </w:rPr>
        <w:t>转账附言：公司名称+项目名称+投标保证金。</w:t>
      </w:r>
    </w:p>
    <w:p w14:paraId="490FD461">
      <w:pPr>
        <w:pStyle w:val="76"/>
        <w:numPr>
          <w:ilvl w:val="0"/>
          <w:numId w:val="21"/>
        </w:numPr>
        <w:adjustRightInd w:val="0"/>
        <w:snapToGrid w:val="0"/>
        <w:rPr>
          <w:rFonts w:hAnsi="宋体" w:eastAsia="答疑" w:cs="宋体"/>
          <w:sz w:val="24"/>
          <w:szCs w:val="24"/>
        </w:rPr>
      </w:pPr>
      <w:r>
        <w:rPr>
          <w:rFonts w:hint="eastAsia" w:hAnsi="宋体" w:eastAsia="答疑" w:cs="宋体"/>
          <w:sz w:val="24"/>
          <w:szCs w:val="24"/>
        </w:rPr>
        <w:t>保证金</w:t>
      </w:r>
      <w:r>
        <w:rPr>
          <w:rFonts w:hint="eastAsia" w:hAnsi="宋体" w:eastAsia="答疑" w:cs="宋体"/>
          <w:sz w:val="24"/>
          <w:szCs w:val="24"/>
          <w:highlight w:val="none"/>
        </w:rPr>
        <w:t>缴纳</w:t>
      </w:r>
      <w:r>
        <w:rPr>
          <w:rFonts w:hint="eastAsia" w:hAnsi="宋体" w:eastAsia="答疑"/>
          <w:sz w:val="24"/>
          <w:szCs w:val="24"/>
          <w:highlight w:val="none"/>
        </w:rPr>
        <w:t>截止</w:t>
      </w:r>
      <w:r>
        <w:rPr>
          <w:rFonts w:hint="eastAsia" w:hAnsi="宋体" w:eastAsia="答疑" w:cs="宋体"/>
          <w:sz w:val="24"/>
          <w:szCs w:val="24"/>
          <w:highlight w:val="none"/>
        </w:rPr>
        <w:t>时间：</w:t>
      </w:r>
      <w:r>
        <w:rPr>
          <w:rFonts w:hint="eastAsia" w:hAnsi="宋体" w:eastAsia="答疑"/>
          <w:sz w:val="24"/>
          <w:szCs w:val="24"/>
          <w:highlight w:val="none"/>
          <w:u w:val="single"/>
        </w:rPr>
        <w:t>2026年</w:t>
      </w:r>
      <w:r>
        <w:rPr>
          <w:rFonts w:hint="eastAsia" w:hAnsi="宋体" w:eastAsia="宋体"/>
          <w:sz w:val="24"/>
          <w:szCs w:val="24"/>
          <w:highlight w:val="none"/>
          <w:u w:val="single"/>
          <w:lang w:val="en-US" w:eastAsia="zh-CN"/>
        </w:rPr>
        <w:t>7</w:t>
      </w:r>
      <w:r>
        <w:rPr>
          <w:rFonts w:hint="eastAsia" w:hAnsi="宋体" w:eastAsia="答疑"/>
          <w:sz w:val="24"/>
          <w:szCs w:val="24"/>
          <w:highlight w:val="none"/>
          <w:u w:val="single"/>
        </w:rPr>
        <w:t>月</w:t>
      </w:r>
      <w:r>
        <w:rPr>
          <w:rFonts w:hint="eastAsia" w:hAnsi="宋体"/>
          <w:sz w:val="24"/>
          <w:szCs w:val="24"/>
          <w:highlight w:val="none"/>
          <w:u w:val="single"/>
          <w:lang w:val="en-US" w:eastAsia="zh-CN"/>
        </w:rPr>
        <w:t>8</w:t>
      </w:r>
      <w:bookmarkStart w:id="20" w:name="_GoBack"/>
      <w:bookmarkEnd w:id="20"/>
      <w:r>
        <w:rPr>
          <w:rFonts w:hint="eastAsia" w:hAnsi="宋体" w:eastAsia="答疑"/>
          <w:sz w:val="24"/>
          <w:szCs w:val="24"/>
          <w:highlight w:val="none"/>
          <w:u w:val="single"/>
        </w:rPr>
        <w:t>日17:00:00（北京时间）</w:t>
      </w:r>
    </w:p>
    <w:p w14:paraId="2CE63689">
      <w:pPr>
        <w:pStyle w:val="72"/>
        <w:numPr>
          <w:ilvl w:val="0"/>
          <w:numId w:val="21"/>
        </w:numPr>
        <w:adjustRightInd w:val="0"/>
        <w:snapToGrid w:val="0"/>
        <w:jc w:val="left"/>
        <w:outlineLvl w:val="9"/>
        <w:rPr>
          <w:rFonts w:ascii="宋体" w:hAnsi="宋体" w:eastAsia="宋体" w:cs="黑体"/>
          <w:b w:val="0"/>
          <w:bCs w:val="0"/>
          <w:sz w:val="24"/>
          <w:szCs w:val="24"/>
        </w:rPr>
      </w:pPr>
      <w:r>
        <w:rPr>
          <w:rFonts w:hint="eastAsia" w:ascii="宋体" w:hAnsi="宋体" w:eastAsia="宋体" w:cs="黑体"/>
          <w:b w:val="0"/>
          <w:bCs w:val="0"/>
          <w:sz w:val="24"/>
          <w:szCs w:val="24"/>
        </w:rPr>
        <w:t>对于没有中标的投标人，投标保证金将于招标人内部完成中标人评审并确认最终中标人后在</w:t>
      </w:r>
      <w:r>
        <w:rPr>
          <w:rFonts w:hint="eastAsia" w:ascii="宋体" w:hAnsi="宋体" w:eastAsia="宋体" w:cs="黑体"/>
          <w:b w:val="0"/>
          <w:bCs w:val="0"/>
          <w:sz w:val="24"/>
          <w:szCs w:val="24"/>
          <w:u w:val="single"/>
        </w:rPr>
        <w:t>一个付款周期</w:t>
      </w:r>
      <w:r>
        <w:rPr>
          <w:rFonts w:hint="eastAsia" w:ascii="宋体" w:hAnsi="宋体" w:eastAsia="宋体" w:cs="黑体"/>
          <w:b w:val="0"/>
          <w:bCs w:val="0"/>
          <w:sz w:val="24"/>
          <w:szCs w:val="24"/>
        </w:rPr>
        <w:t>内予以原路返还（无息）；对于中标方，投标保证金将在签订合同后</w:t>
      </w:r>
      <w:r>
        <w:rPr>
          <w:rFonts w:hint="eastAsia" w:ascii="宋体" w:hAnsi="宋体" w:eastAsia="宋体" w:cs="黑体"/>
          <w:b w:val="0"/>
          <w:bCs w:val="0"/>
          <w:sz w:val="24"/>
          <w:szCs w:val="24"/>
          <w:u w:val="single"/>
        </w:rPr>
        <w:t>一个付款周期</w:t>
      </w:r>
      <w:r>
        <w:rPr>
          <w:rFonts w:hint="eastAsia" w:ascii="宋体" w:hAnsi="宋体" w:eastAsia="宋体" w:cs="黑体"/>
          <w:b w:val="0"/>
          <w:bCs w:val="0"/>
          <w:sz w:val="24"/>
          <w:szCs w:val="24"/>
        </w:rPr>
        <w:t>内原路返还（无息）。</w:t>
      </w:r>
    </w:p>
    <w:p w14:paraId="331A1366">
      <w:pPr>
        <w:pStyle w:val="72"/>
        <w:numPr>
          <w:ilvl w:val="0"/>
          <w:numId w:val="21"/>
        </w:numPr>
        <w:adjustRightInd w:val="0"/>
        <w:snapToGrid w:val="0"/>
        <w:jc w:val="left"/>
        <w:outlineLvl w:val="9"/>
        <w:rPr>
          <w:rFonts w:ascii="宋体" w:hAnsi="宋体" w:eastAsia="宋体" w:cs="黑体"/>
          <w:b w:val="0"/>
          <w:bCs w:val="0"/>
          <w:sz w:val="24"/>
          <w:szCs w:val="24"/>
        </w:rPr>
      </w:pPr>
      <w:r>
        <w:rPr>
          <w:rFonts w:hint="eastAsia" w:ascii="宋体" w:hAnsi="宋体" w:eastAsia="宋体" w:cs="黑体"/>
          <w:b w:val="0"/>
          <w:bCs w:val="0"/>
          <w:sz w:val="24"/>
          <w:szCs w:val="24"/>
        </w:rPr>
        <w:t>发生以下情况时，有权没收保证金：</w:t>
      </w:r>
    </w:p>
    <w:p w14:paraId="602C1627">
      <w:pPr>
        <w:pStyle w:val="76"/>
        <w:numPr>
          <w:ilvl w:val="0"/>
          <w:numId w:val="23"/>
        </w:numPr>
        <w:adjustRightInd w:val="0"/>
        <w:snapToGrid w:val="0"/>
        <w:rPr>
          <w:rFonts w:hAnsi="宋体"/>
          <w:sz w:val="24"/>
          <w:szCs w:val="24"/>
        </w:rPr>
      </w:pPr>
      <w:r>
        <w:rPr>
          <w:rFonts w:hint="eastAsia" w:hAnsi="宋体" w:cs="宋体"/>
          <w:sz w:val="24"/>
          <w:szCs w:val="24"/>
        </w:rPr>
        <w:t>供</w:t>
      </w:r>
      <w:r>
        <w:rPr>
          <w:rFonts w:hint="eastAsia" w:hAnsi="宋体"/>
          <w:sz w:val="24"/>
          <w:szCs w:val="24"/>
        </w:rPr>
        <w:t>应商在提交响应文件截止时间后撤回响应文件的；</w:t>
      </w:r>
    </w:p>
    <w:p w14:paraId="4E8C4844">
      <w:pPr>
        <w:pStyle w:val="76"/>
        <w:numPr>
          <w:ilvl w:val="0"/>
          <w:numId w:val="23"/>
        </w:numPr>
        <w:adjustRightInd w:val="0"/>
        <w:snapToGrid w:val="0"/>
        <w:rPr>
          <w:rFonts w:hAnsi="宋体"/>
          <w:sz w:val="24"/>
          <w:szCs w:val="24"/>
        </w:rPr>
      </w:pPr>
      <w:r>
        <w:rPr>
          <w:rFonts w:hint="eastAsia" w:hAnsi="宋体"/>
          <w:sz w:val="24"/>
          <w:szCs w:val="24"/>
        </w:rPr>
        <w:t>供应商在响应文件中提供虚假材料的；</w:t>
      </w:r>
    </w:p>
    <w:p w14:paraId="36348E5B">
      <w:pPr>
        <w:pStyle w:val="76"/>
        <w:numPr>
          <w:ilvl w:val="0"/>
          <w:numId w:val="23"/>
        </w:numPr>
        <w:adjustRightInd w:val="0"/>
        <w:snapToGrid w:val="0"/>
        <w:rPr>
          <w:rFonts w:hAnsi="宋体"/>
          <w:sz w:val="24"/>
          <w:szCs w:val="24"/>
        </w:rPr>
      </w:pPr>
      <w:r>
        <w:rPr>
          <w:rFonts w:hint="eastAsia" w:hAnsi="宋体"/>
          <w:sz w:val="24"/>
          <w:szCs w:val="24"/>
        </w:rPr>
        <w:t>除因不可抗力或谈判文件、询价通知书认可的情形以外，成交供应商不与采购人签订合同的；</w:t>
      </w:r>
    </w:p>
    <w:p w14:paraId="2C274011">
      <w:pPr>
        <w:pStyle w:val="76"/>
        <w:numPr>
          <w:ilvl w:val="0"/>
          <w:numId w:val="23"/>
        </w:numPr>
        <w:adjustRightInd w:val="0"/>
        <w:snapToGrid w:val="0"/>
        <w:rPr>
          <w:rFonts w:hAnsi="宋体"/>
          <w:sz w:val="24"/>
          <w:szCs w:val="24"/>
        </w:rPr>
      </w:pPr>
      <w:r>
        <w:rPr>
          <w:rFonts w:hint="eastAsia" w:hAnsi="宋体"/>
          <w:sz w:val="24"/>
          <w:szCs w:val="24"/>
        </w:rPr>
        <w:t>供应商与采购人、其他供应商或者采购代理机构恶意串通、围标、陪标的；</w:t>
      </w:r>
    </w:p>
    <w:p w14:paraId="12F6C07C">
      <w:pPr>
        <w:pStyle w:val="76"/>
        <w:numPr>
          <w:ilvl w:val="0"/>
          <w:numId w:val="23"/>
        </w:numPr>
        <w:adjustRightInd w:val="0"/>
        <w:snapToGrid w:val="0"/>
        <w:rPr>
          <w:rFonts w:hAnsi="宋体"/>
          <w:sz w:val="24"/>
          <w:szCs w:val="24"/>
        </w:rPr>
      </w:pPr>
      <w:r>
        <w:rPr>
          <w:rFonts w:hint="eastAsia" w:hAnsi="宋体"/>
          <w:sz w:val="24"/>
          <w:szCs w:val="24"/>
        </w:rPr>
        <w:t>供应商有违约违规行为或被投诉、举报的，在调查处理期间，保证金暂不退还，待调查处理结束后按有关规定处理。</w:t>
      </w:r>
    </w:p>
    <w:p w14:paraId="24D6B287">
      <w:pPr>
        <w:pStyle w:val="76"/>
        <w:numPr>
          <w:ilvl w:val="0"/>
          <w:numId w:val="23"/>
        </w:numPr>
        <w:adjustRightInd w:val="0"/>
        <w:snapToGrid w:val="0"/>
        <w:rPr>
          <w:rFonts w:hAnsi="宋体"/>
          <w:sz w:val="24"/>
          <w:szCs w:val="24"/>
        </w:rPr>
      </w:pPr>
      <w:r>
        <w:rPr>
          <w:rFonts w:hint="eastAsia" w:hAnsi="宋体"/>
          <w:sz w:val="24"/>
          <w:szCs w:val="24"/>
        </w:rPr>
        <w:t>截至开标前3天，投标人无正当理由、未以书面形式向招标人递交说明而在投标截止日不来投标的。</w:t>
      </w:r>
    </w:p>
    <w:p w14:paraId="13C32014">
      <w:pPr>
        <w:pStyle w:val="76"/>
        <w:numPr>
          <w:ilvl w:val="0"/>
          <w:numId w:val="23"/>
        </w:numPr>
        <w:adjustRightInd w:val="0"/>
        <w:snapToGrid w:val="0"/>
        <w:rPr>
          <w:rFonts w:hAnsi="宋体"/>
          <w:sz w:val="24"/>
          <w:szCs w:val="24"/>
        </w:rPr>
      </w:pPr>
      <w:r>
        <w:rPr>
          <w:rFonts w:hint="eastAsia" w:hAnsi="宋体"/>
          <w:sz w:val="24"/>
          <w:szCs w:val="24"/>
        </w:rPr>
        <w:t>自中标通知书发出之日起30日内，中标人无正当理由投标人无正当签订合同的；</w:t>
      </w:r>
    </w:p>
    <w:p w14:paraId="2CE7B259">
      <w:pPr>
        <w:pStyle w:val="76"/>
        <w:numPr>
          <w:ilvl w:val="0"/>
          <w:numId w:val="23"/>
        </w:numPr>
        <w:adjustRightInd w:val="0"/>
        <w:snapToGrid w:val="0"/>
        <w:rPr>
          <w:rFonts w:hAnsi="宋体"/>
          <w:sz w:val="24"/>
          <w:szCs w:val="24"/>
        </w:rPr>
      </w:pPr>
      <w:r>
        <w:rPr>
          <w:rFonts w:hint="eastAsia" w:hAnsi="宋体"/>
          <w:sz w:val="24"/>
          <w:szCs w:val="24"/>
        </w:rPr>
        <w:t>采购文件规定</w:t>
      </w:r>
      <w:r>
        <w:rPr>
          <w:rFonts w:hint="eastAsia" w:hAnsi="宋体" w:cs="宋体"/>
          <w:sz w:val="24"/>
          <w:szCs w:val="24"/>
        </w:rPr>
        <w:t>的其他情形。</w:t>
      </w:r>
      <w:bookmarkEnd w:id="5"/>
    </w:p>
    <w:p w14:paraId="5291B89D">
      <w:pPr>
        <w:pStyle w:val="72"/>
        <w:adjustRightInd w:val="0"/>
        <w:snapToGrid w:val="0"/>
        <w:ind w:left="0" w:firstLine="0"/>
        <w:jc w:val="left"/>
        <w:outlineLvl w:val="9"/>
        <w:rPr>
          <w:rFonts w:ascii="宋体" w:hAnsi="宋体" w:eastAsia="宋体"/>
          <w:sz w:val="24"/>
          <w:szCs w:val="24"/>
        </w:rPr>
      </w:pPr>
      <w:r>
        <w:rPr>
          <w:rFonts w:hint="eastAsia" w:ascii="宋体" w:hAnsi="宋体" w:eastAsia="宋体"/>
          <w:sz w:val="24"/>
          <w:szCs w:val="24"/>
        </w:rPr>
        <w:t>开评标</w:t>
      </w:r>
    </w:p>
    <w:p w14:paraId="4A56C72D">
      <w:pPr>
        <w:pStyle w:val="72"/>
        <w:numPr>
          <w:ilvl w:val="0"/>
          <w:numId w:val="24"/>
        </w:numPr>
        <w:adjustRightInd w:val="0"/>
        <w:snapToGrid w:val="0"/>
        <w:jc w:val="left"/>
        <w:outlineLvl w:val="9"/>
        <w:rPr>
          <w:rFonts w:ascii="宋体" w:hAnsi="宋体" w:eastAsia="宋体" w:cs="黑体"/>
          <w:b w:val="0"/>
          <w:bCs w:val="0"/>
          <w:sz w:val="24"/>
          <w:szCs w:val="24"/>
        </w:rPr>
      </w:pPr>
      <w:r>
        <w:rPr>
          <w:rFonts w:hint="eastAsia" w:ascii="宋体" w:hAnsi="宋体" w:eastAsia="宋体" w:cs="黑体"/>
          <w:b w:val="0"/>
          <w:bCs w:val="0"/>
          <w:sz w:val="24"/>
          <w:szCs w:val="24"/>
        </w:rPr>
        <w:t>开标时间和地点</w:t>
      </w:r>
    </w:p>
    <w:p w14:paraId="481C1227">
      <w:pPr>
        <w:pStyle w:val="76"/>
        <w:numPr>
          <w:ilvl w:val="0"/>
          <w:numId w:val="25"/>
        </w:numPr>
        <w:adjustRightInd w:val="0"/>
        <w:snapToGrid w:val="0"/>
        <w:rPr>
          <w:rFonts w:hAnsi="宋体" w:cs="宋体"/>
          <w:sz w:val="24"/>
          <w:szCs w:val="24"/>
        </w:rPr>
      </w:pPr>
      <w:r>
        <w:rPr>
          <w:rFonts w:hint="eastAsia" w:hAnsi="宋体" w:cs="宋体"/>
          <w:sz w:val="24"/>
          <w:szCs w:val="24"/>
        </w:rPr>
        <w:t>开标时间：</w:t>
      </w:r>
      <w:r>
        <w:rPr>
          <w:rFonts w:hint="eastAsia" w:hAnsi="宋体" w:cs="宋体"/>
          <w:sz w:val="24"/>
          <w:szCs w:val="24"/>
          <w:highlight w:val="none"/>
        </w:rPr>
        <w:t>202</w:t>
      </w:r>
      <w:r>
        <w:rPr>
          <w:rFonts w:hAnsi="宋体" w:cs="宋体"/>
          <w:sz w:val="24"/>
          <w:szCs w:val="24"/>
          <w:highlight w:val="none"/>
        </w:rPr>
        <w:t>6</w:t>
      </w:r>
      <w:r>
        <w:rPr>
          <w:rFonts w:hint="eastAsia" w:hAnsi="宋体" w:cs="宋体"/>
          <w:sz w:val="24"/>
          <w:szCs w:val="24"/>
          <w:highlight w:val="none"/>
        </w:rPr>
        <w:t>年</w:t>
      </w:r>
      <w:r>
        <w:rPr>
          <w:rFonts w:hint="eastAsia" w:hAnsi="宋体" w:cs="宋体"/>
          <w:sz w:val="24"/>
          <w:szCs w:val="24"/>
          <w:highlight w:val="none"/>
          <w:lang w:val="en-US" w:eastAsia="zh-CN"/>
        </w:rPr>
        <w:t>7</w:t>
      </w:r>
      <w:r>
        <w:rPr>
          <w:rFonts w:hint="eastAsia" w:hAnsi="宋体" w:cs="宋体"/>
          <w:sz w:val="24"/>
          <w:szCs w:val="24"/>
          <w:highlight w:val="none"/>
        </w:rPr>
        <w:t>月</w:t>
      </w:r>
      <w:r>
        <w:rPr>
          <w:rFonts w:hint="eastAsia" w:hAnsi="宋体" w:cs="宋体"/>
          <w:sz w:val="24"/>
          <w:szCs w:val="24"/>
          <w:highlight w:val="none"/>
          <w:lang w:val="en-US" w:eastAsia="zh-CN"/>
        </w:rPr>
        <w:t>9</w:t>
      </w:r>
      <w:r>
        <w:rPr>
          <w:rFonts w:hint="eastAsia" w:hAnsi="宋体" w:cs="宋体"/>
          <w:sz w:val="24"/>
          <w:szCs w:val="24"/>
          <w:highlight w:val="none"/>
        </w:rPr>
        <w:t>日</w:t>
      </w:r>
      <w:r>
        <w:rPr>
          <w:rFonts w:hAnsi="宋体" w:cs="宋体"/>
          <w:sz w:val="24"/>
          <w:szCs w:val="24"/>
          <w:highlight w:val="none"/>
        </w:rPr>
        <w:t>9:00:00（</w:t>
      </w:r>
      <w:r>
        <w:rPr>
          <w:rFonts w:hAnsi="宋体" w:cs="宋体"/>
          <w:sz w:val="24"/>
          <w:szCs w:val="24"/>
        </w:rPr>
        <w:t>北京时间）</w:t>
      </w:r>
      <w:r>
        <w:rPr>
          <w:rFonts w:hint="eastAsia" w:hAnsi="宋体" w:cs="宋体"/>
          <w:sz w:val="24"/>
          <w:szCs w:val="24"/>
        </w:rPr>
        <w:t>，</w:t>
      </w:r>
      <w:r>
        <w:rPr>
          <w:rFonts w:hAnsi="宋体" w:cs="宋体"/>
          <w:sz w:val="24"/>
          <w:szCs w:val="24"/>
        </w:rPr>
        <w:t>若有变动另行通知。</w:t>
      </w:r>
    </w:p>
    <w:p w14:paraId="0F6DEEE6">
      <w:pPr>
        <w:pStyle w:val="76"/>
        <w:numPr>
          <w:ilvl w:val="0"/>
          <w:numId w:val="25"/>
        </w:numPr>
        <w:adjustRightInd w:val="0"/>
        <w:snapToGrid w:val="0"/>
        <w:rPr>
          <w:rFonts w:hAnsi="宋体" w:cs="宋体"/>
          <w:sz w:val="24"/>
          <w:szCs w:val="24"/>
        </w:rPr>
      </w:pPr>
      <w:r>
        <w:rPr>
          <w:rFonts w:hint="eastAsia" w:hAnsi="宋体" w:cs="宋体"/>
          <w:sz w:val="24"/>
          <w:szCs w:val="24"/>
        </w:rPr>
        <w:t>开标地点：钉钉会议及e采通系统 ，</w:t>
      </w:r>
      <w:r>
        <w:rPr>
          <w:rFonts w:hAnsi="宋体" w:cs="宋体"/>
          <w:sz w:val="24"/>
          <w:szCs w:val="24"/>
        </w:rPr>
        <w:t>若有变动另行通知。</w:t>
      </w:r>
    </w:p>
    <w:p w14:paraId="328F932D">
      <w:pPr>
        <w:pStyle w:val="76"/>
        <w:numPr>
          <w:ilvl w:val="0"/>
          <w:numId w:val="25"/>
        </w:numPr>
        <w:adjustRightInd w:val="0"/>
        <w:snapToGrid w:val="0"/>
        <w:rPr>
          <w:rFonts w:hAnsi="宋体" w:cs="宋体"/>
          <w:color w:val="000000"/>
          <w:sz w:val="24"/>
          <w:szCs w:val="24"/>
        </w:rPr>
      </w:pPr>
      <w:r>
        <w:rPr>
          <w:rFonts w:hint="eastAsia" w:hAnsi="宋体" w:cs="宋体"/>
          <w:sz w:val="24"/>
          <w:szCs w:val="24"/>
        </w:rPr>
        <w:t>开标方式：线上开标。</w:t>
      </w:r>
      <w:r>
        <w:rPr>
          <w:rFonts w:hint="eastAsia" w:hAnsi="宋体" w:cs="宋体"/>
          <w:color w:val="000000"/>
          <w:sz w:val="24"/>
          <w:szCs w:val="24"/>
          <w:u w:val="single"/>
        </w:rPr>
        <w:t>因招标人原因，允许各投标方通过视频会议等形式线上招标，所需过程资料均通过e采通进行提报，由招标人创建视频链接，并在报名结束后统一通知。</w:t>
      </w:r>
    </w:p>
    <w:p w14:paraId="66EEF3FD">
      <w:pPr>
        <w:pStyle w:val="72"/>
        <w:numPr>
          <w:ilvl w:val="0"/>
          <w:numId w:val="24"/>
        </w:numPr>
        <w:adjustRightInd w:val="0"/>
        <w:snapToGrid w:val="0"/>
        <w:jc w:val="left"/>
        <w:outlineLvl w:val="9"/>
        <w:rPr>
          <w:rFonts w:ascii="宋体" w:hAnsi="宋体" w:eastAsia="宋体" w:cs="黑体"/>
          <w:b w:val="0"/>
          <w:bCs w:val="0"/>
          <w:sz w:val="24"/>
          <w:szCs w:val="24"/>
        </w:rPr>
      </w:pPr>
      <w:r>
        <w:rPr>
          <w:rFonts w:hint="eastAsia" w:ascii="宋体" w:hAnsi="宋体" w:eastAsia="宋体" w:cs="黑体"/>
          <w:b w:val="0"/>
          <w:bCs w:val="0"/>
          <w:sz w:val="24"/>
          <w:szCs w:val="24"/>
        </w:rPr>
        <w:t>评标方法</w:t>
      </w:r>
      <w:r>
        <w:rPr>
          <w:rFonts w:hint="eastAsia" w:ascii="宋体" w:hAnsi="宋体" w:eastAsia="宋体" w:cs="黑体"/>
          <w:sz w:val="24"/>
          <w:szCs w:val="24"/>
        </w:rPr>
        <w:t>：合理最低价中标</w:t>
      </w:r>
      <w:r>
        <w:rPr>
          <w:rFonts w:hint="eastAsia" w:ascii="宋体" w:hAnsi="宋体" w:eastAsia="宋体" w:cs="黑体"/>
          <w:sz w:val="24"/>
          <w:szCs w:val="24"/>
          <w:lang w:eastAsia="zh-CN"/>
        </w:rPr>
        <w:t>。</w:t>
      </w:r>
    </w:p>
    <w:p w14:paraId="387BF147">
      <w:pPr>
        <w:pStyle w:val="72"/>
        <w:numPr>
          <w:ilvl w:val="0"/>
          <w:numId w:val="24"/>
        </w:numPr>
        <w:adjustRightInd w:val="0"/>
        <w:snapToGrid w:val="0"/>
        <w:jc w:val="left"/>
        <w:outlineLvl w:val="9"/>
        <w:rPr>
          <w:rFonts w:ascii="宋体" w:hAnsi="宋体" w:eastAsia="宋体" w:cs="黑体"/>
          <w:b w:val="0"/>
          <w:bCs w:val="0"/>
          <w:sz w:val="24"/>
          <w:szCs w:val="24"/>
          <w:highlight w:val="none"/>
        </w:rPr>
      </w:pPr>
      <w:r>
        <w:rPr>
          <w:rFonts w:hint="eastAsia" w:ascii="宋体" w:hAnsi="宋体" w:eastAsia="宋体" w:cs="宋体"/>
          <w:b w:val="0"/>
          <w:bCs w:val="0"/>
          <w:sz w:val="24"/>
          <w:szCs w:val="24"/>
          <w:highlight w:val="none"/>
        </w:rPr>
        <w:t>技术标：按以下标准评议，投标人对技术标进行讲解，招标专家组对投标人进行技术评分，技术评分低于80分的投标人淘汰离场，不能进入商务标环节入围后。高于8</w:t>
      </w:r>
      <w:r>
        <w:rPr>
          <w:rFonts w:ascii="宋体" w:hAnsi="宋体" w:eastAsia="宋体" w:cs="宋体"/>
          <w:b w:val="0"/>
          <w:bCs w:val="0"/>
          <w:sz w:val="24"/>
          <w:szCs w:val="24"/>
          <w:highlight w:val="none"/>
        </w:rPr>
        <w:t>0</w:t>
      </w:r>
      <w:r>
        <w:rPr>
          <w:rFonts w:hint="eastAsia" w:ascii="宋体" w:hAnsi="宋体" w:eastAsia="宋体" w:cs="宋体"/>
          <w:b w:val="0"/>
          <w:bCs w:val="0"/>
          <w:sz w:val="24"/>
          <w:szCs w:val="24"/>
          <w:highlight w:val="none"/>
        </w:rPr>
        <w:t>分（含）的投标人入围商务标。</w:t>
      </w:r>
    </w:p>
    <w:tbl>
      <w:tblPr>
        <w:tblStyle w:val="31"/>
        <w:tblW w:w="9270" w:type="dxa"/>
        <w:tblInd w:w="98"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584"/>
        <w:gridCol w:w="1051"/>
        <w:gridCol w:w="976"/>
        <w:gridCol w:w="832"/>
        <w:gridCol w:w="4339"/>
        <w:gridCol w:w="744"/>
        <w:gridCol w:w="744"/>
      </w:tblGrid>
      <w:tr w14:paraId="5B2943D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040" w:hRule="atLeast"/>
        </w:trPr>
        <w:tc>
          <w:tcPr>
            <w:tcW w:w="584" w:type="dxa"/>
            <w:tcBorders>
              <w:top w:val="single" w:color="auto" w:sz="4" w:space="0"/>
              <w:left w:val="single" w:color="auto" w:sz="4" w:space="0"/>
              <w:bottom w:val="single" w:color="auto" w:sz="4" w:space="0"/>
              <w:right w:val="single" w:color="auto" w:sz="4" w:space="0"/>
            </w:tcBorders>
            <w:shd w:val="clear" w:color="auto" w:fill="auto"/>
            <w:vAlign w:val="center"/>
          </w:tcPr>
          <w:p w14:paraId="6EF8A9C9">
            <w:pPr>
              <w:keepNext w:val="0"/>
              <w:keepLines w:val="0"/>
              <w:widowControl/>
              <w:suppressLineNumbers w:val="0"/>
              <w:jc w:val="center"/>
              <w:textAlignment w:val="center"/>
              <w:rPr>
                <w:rFonts w:hint="eastAsia" w:ascii="宋体" w:hAnsi="宋体" w:eastAsia="宋体" w:cs="宋体"/>
                <w:kern w:val="2"/>
                <w:sz w:val="24"/>
                <w:szCs w:val="24"/>
                <w:lang w:val="en-US" w:eastAsia="zh-CN" w:bidi="ar-SA"/>
              </w:rPr>
            </w:pPr>
            <w:r>
              <w:rPr>
                <w:rFonts w:hint="eastAsia" w:ascii="宋体" w:hAnsi="宋体" w:eastAsia="宋体" w:cs="宋体"/>
                <w:kern w:val="2"/>
                <w:sz w:val="24"/>
                <w:szCs w:val="24"/>
                <w:lang w:val="en-US" w:eastAsia="zh-CN" w:bidi="ar-SA"/>
              </w:rPr>
              <w:t>序号</w:t>
            </w:r>
          </w:p>
        </w:tc>
        <w:tc>
          <w:tcPr>
            <w:tcW w:w="1051" w:type="dxa"/>
            <w:tcBorders>
              <w:top w:val="single" w:color="auto" w:sz="4" w:space="0"/>
              <w:left w:val="single" w:color="auto" w:sz="4" w:space="0"/>
              <w:bottom w:val="single" w:color="auto" w:sz="4" w:space="0"/>
              <w:right w:val="single" w:color="auto" w:sz="4" w:space="0"/>
            </w:tcBorders>
            <w:shd w:val="clear" w:color="auto" w:fill="auto"/>
            <w:vAlign w:val="center"/>
          </w:tcPr>
          <w:p w14:paraId="5E8A6196">
            <w:pPr>
              <w:keepNext w:val="0"/>
              <w:keepLines w:val="0"/>
              <w:widowControl/>
              <w:suppressLineNumbers w:val="0"/>
              <w:jc w:val="center"/>
              <w:textAlignment w:val="center"/>
              <w:rPr>
                <w:rFonts w:hint="eastAsia" w:ascii="宋体" w:hAnsi="宋体" w:eastAsia="宋体" w:cs="宋体"/>
                <w:kern w:val="2"/>
                <w:sz w:val="24"/>
                <w:szCs w:val="24"/>
                <w:lang w:val="en-US" w:eastAsia="zh-CN" w:bidi="ar-SA"/>
              </w:rPr>
            </w:pPr>
            <w:r>
              <w:rPr>
                <w:rFonts w:hint="eastAsia" w:ascii="宋体" w:hAnsi="宋体" w:eastAsia="宋体" w:cs="宋体"/>
                <w:kern w:val="2"/>
                <w:sz w:val="24"/>
                <w:szCs w:val="24"/>
                <w:lang w:val="en-US" w:eastAsia="zh-CN" w:bidi="ar-SA"/>
              </w:rPr>
              <w:t>评分维度</w:t>
            </w:r>
          </w:p>
        </w:tc>
        <w:tc>
          <w:tcPr>
            <w:tcW w:w="976" w:type="dxa"/>
            <w:tcBorders>
              <w:top w:val="single" w:color="auto" w:sz="4" w:space="0"/>
              <w:left w:val="single" w:color="auto" w:sz="4" w:space="0"/>
              <w:bottom w:val="single" w:color="auto" w:sz="4" w:space="0"/>
              <w:right w:val="single" w:color="auto" w:sz="4" w:space="0"/>
            </w:tcBorders>
            <w:shd w:val="clear" w:color="auto" w:fill="auto"/>
            <w:vAlign w:val="center"/>
          </w:tcPr>
          <w:p w14:paraId="26E27EA5">
            <w:pPr>
              <w:keepNext w:val="0"/>
              <w:keepLines w:val="0"/>
              <w:widowControl/>
              <w:suppressLineNumbers w:val="0"/>
              <w:jc w:val="center"/>
              <w:textAlignment w:val="center"/>
              <w:rPr>
                <w:rFonts w:hint="eastAsia" w:ascii="宋体" w:hAnsi="宋体" w:eastAsia="宋体" w:cs="宋体"/>
                <w:kern w:val="2"/>
                <w:sz w:val="24"/>
                <w:szCs w:val="24"/>
                <w:lang w:val="en-US" w:eastAsia="zh-CN" w:bidi="ar-SA"/>
              </w:rPr>
            </w:pPr>
            <w:r>
              <w:rPr>
                <w:rFonts w:hint="eastAsia" w:ascii="宋体" w:hAnsi="宋体" w:eastAsia="宋体" w:cs="宋体"/>
                <w:kern w:val="2"/>
                <w:sz w:val="24"/>
                <w:szCs w:val="24"/>
                <w:lang w:val="en-US" w:eastAsia="zh-CN" w:bidi="ar-SA"/>
              </w:rPr>
              <w:t>权重</w:t>
            </w:r>
          </w:p>
        </w:tc>
        <w:tc>
          <w:tcPr>
            <w:tcW w:w="832" w:type="dxa"/>
            <w:tcBorders>
              <w:top w:val="single" w:color="auto" w:sz="4" w:space="0"/>
              <w:left w:val="single" w:color="auto" w:sz="4" w:space="0"/>
              <w:bottom w:val="single" w:color="auto" w:sz="4" w:space="0"/>
              <w:right w:val="single" w:color="auto" w:sz="4" w:space="0"/>
            </w:tcBorders>
            <w:shd w:val="clear" w:color="auto" w:fill="auto"/>
            <w:vAlign w:val="center"/>
          </w:tcPr>
          <w:p w14:paraId="3C2593DE">
            <w:pPr>
              <w:keepNext w:val="0"/>
              <w:keepLines w:val="0"/>
              <w:widowControl/>
              <w:suppressLineNumbers w:val="0"/>
              <w:jc w:val="center"/>
              <w:textAlignment w:val="center"/>
              <w:rPr>
                <w:rFonts w:hint="eastAsia" w:ascii="宋体" w:hAnsi="宋体" w:eastAsia="宋体" w:cs="宋体"/>
                <w:kern w:val="2"/>
                <w:sz w:val="24"/>
                <w:szCs w:val="24"/>
                <w:lang w:val="en-US" w:eastAsia="zh-CN" w:bidi="ar-SA"/>
              </w:rPr>
            </w:pPr>
            <w:r>
              <w:rPr>
                <w:rFonts w:hint="eastAsia" w:ascii="宋体" w:hAnsi="宋体" w:eastAsia="宋体" w:cs="宋体"/>
                <w:kern w:val="2"/>
                <w:sz w:val="24"/>
                <w:szCs w:val="24"/>
                <w:lang w:val="en-US" w:eastAsia="zh-CN" w:bidi="ar-SA"/>
              </w:rPr>
              <w:t>评审内容</w:t>
            </w:r>
          </w:p>
        </w:tc>
        <w:tc>
          <w:tcPr>
            <w:tcW w:w="4339" w:type="dxa"/>
            <w:tcBorders>
              <w:top w:val="single" w:color="auto" w:sz="4" w:space="0"/>
              <w:left w:val="single" w:color="auto" w:sz="4" w:space="0"/>
              <w:bottom w:val="single" w:color="auto" w:sz="4" w:space="0"/>
              <w:right w:val="single" w:color="auto" w:sz="4" w:space="0"/>
            </w:tcBorders>
            <w:shd w:val="clear" w:color="auto" w:fill="auto"/>
            <w:vAlign w:val="center"/>
          </w:tcPr>
          <w:p w14:paraId="7E53CEF2">
            <w:pPr>
              <w:keepNext w:val="0"/>
              <w:keepLines w:val="0"/>
              <w:widowControl/>
              <w:suppressLineNumbers w:val="0"/>
              <w:jc w:val="center"/>
              <w:textAlignment w:val="center"/>
              <w:rPr>
                <w:rFonts w:hint="eastAsia" w:ascii="宋体" w:hAnsi="宋体" w:eastAsia="宋体" w:cs="宋体"/>
                <w:kern w:val="2"/>
                <w:sz w:val="24"/>
                <w:szCs w:val="24"/>
                <w:lang w:val="en-US" w:eastAsia="zh-CN" w:bidi="ar-SA"/>
              </w:rPr>
            </w:pPr>
            <w:r>
              <w:rPr>
                <w:rFonts w:hint="eastAsia" w:ascii="宋体" w:hAnsi="宋体" w:eastAsia="宋体" w:cs="宋体"/>
                <w:kern w:val="2"/>
                <w:sz w:val="24"/>
                <w:szCs w:val="24"/>
                <w:lang w:val="en-US" w:eastAsia="zh-CN" w:bidi="ar-SA"/>
              </w:rPr>
              <w:t>评分标准</w:t>
            </w:r>
          </w:p>
        </w:tc>
        <w:tc>
          <w:tcPr>
            <w:tcW w:w="744" w:type="dxa"/>
            <w:tcBorders>
              <w:top w:val="single" w:color="auto" w:sz="4" w:space="0"/>
              <w:left w:val="single" w:color="auto" w:sz="4" w:space="0"/>
              <w:bottom w:val="single" w:color="auto" w:sz="4" w:space="0"/>
              <w:right w:val="single" w:color="auto" w:sz="4" w:space="0"/>
            </w:tcBorders>
            <w:shd w:val="clear" w:color="auto" w:fill="auto"/>
            <w:vAlign w:val="center"/>
          </w:tcPr>
          <w:p w14:paraId="3FD70E6B">
            <w:pPr>
              <w:keepNext w:val="0"/>
              <w:keepLines w:val="0"/>
              <w:widowControl/>
              <w:suppressLineNumbers w:val="0"/>
              <w:jc w:val="center"/>
              <w:textAlignment w:val="center"/>
              <w:rPr>
                <w:rFonts w:hint="eastAsia" w:ascii="宋体" w:hAnsi="宋体" w:eastAsia="宋体" w:cs="宋体"/>
                <w:kern w:val="2"/>
                <w:sz w:val="24"/>
                <w:szCs w:val="24"/>
                <w:lang w:val="en-US" w:eastAsia="zh-CN" w:bidi="ar-SA"/>
              </w:rPr>
            </w:pPr>
            <w:r>
              <w:rPr>
                <w:rFonts w:hint="eastAsia" w:ascii="宋体" w:hAnsi="宋体" w:eastAsia="宋体" w:cs="宋体"/>
                <w:kern w:val="2"/>
                <w:sz w:val="24"/>
                <w:szCs w:val="24"/>
                <w:lang w:val="en-US" w:eastAsia="zh-CN" w:bidi="ar-SA"/>
              </w:rPr>
              <w:t>满分</w:t>
            </w:r>
          </w:p>
        </w:tc>
        <w:tc>
          <w:tcPr>
            <w:tcW w:w="744" w:type="dxa"/>
            <w:tcBorders>
              <w:top w:val="single" w:color="auto" w:sz="4" w:space="0"/>
              <w:left w:val="single" w:color="auto" w:sz="4" w:space="0"/>
              <w:bottom w:val="single" w:color="auto" w:sz="4" w:space="0"/>
              <w:right w:val="single" w:color="auto" w:sz="4" w:space="0"/>
            </w:tcBorders>
            <w:shd w:val="clear" w:color="auto" w:fill="auto"/>
            <w:vAlign w:val="center"/>
          </w:tcPr>
          <w:p w14:paraId="2DC6A398">
            <w:pPr>
              <w:keepNext w:val="0"/>
              <w:keepLines w:val="0"/>
              <w:widowControl/>
              <w:suppressLineNumbers w:val="0"/>
              <w:jc w:val="center"/>
              <w:textAlignment w:val="center"/>
              <w:rPr>
                <w:rFonts w:hint="eastAsia" w:ascii="宋体" w:hAnsi="宋体" w:eastAsia="宋体" w:cs="宋体"/>
                <w:kern w:val="2"/>
                <w:sz w:val="24"/>
                <w:szCs w:val="24"/>
                <w:lang w:val="en-US" w:eastAsia="zh-CN" w:bidi="ar-SA"/>
              </w:rPr>
            </w:pPr>
            <w:r>
              <w:rPr>
                <w:rFonts w:hint="eastAsia" w:ascii="宋体" w:hAnsi="宋体" w:eastAsia="宋体" w:cs="宋体"/>
                <w:kern w:val="2"/>
                <w:sz w:val="24"/>
                <w:szCs w:val="24"/>
                <w:lang w:val="en-US" w:eastAsia="zh-CN" w:bidi="ar-SA"/>
              </w:rPr>
              <w:t>得分</w:t>
            </w:r>
          </w:p>
        </w:tc>
      </w:tr>
      <w:tr w14:paraId="74DB1DE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040" w:hRule="atLeast"/>
        </w:trPr>
        <w:tc>
          <w:tcPr>
            <w:tcW w:w="584" w:type="dxa"/>
            <w:vMerge w:val="restart"/>
            <w:tcBorders>
              <w:top w:val="single" w:color="auto" w:sz="4" w:space="0"/>
              <w:left w:val="single" w:color="auto" w:sz="4" w:space="0"/>
              <w:bottom w:val="single" w:color="auto" w:sz="4" w:space="0"/>
              <w:right w:val="single" w:color="auto" w:sz="4" w:space="0"/>
            </w:tcBorders>
            <w:shd w:val="clear" w:color="auto" w:fill="FFFFFF"/>
            <w:vAlign w:val="center"/>
          </w:tcPr>
          <w:p w14:paraId="2AA230FA">
            <w:pPr>
              <w:keepNext w:val="0"/>
              <w:keepLines w:val="0"/>
              <w:widowControl/>
              <w:suppressLineNumbers w:val="0"/>
              <w:jc w:val="center"/>
              <w:textAlignment w:val="center"/>
              <w:rPr>
                <w:rFonts w:hint="eastAsia" w:ascii="宋体" w:hAnsi="宋体" w:eastAsia="宋体" w:cs="宋体"/>
                <w:kern w:val="2"/>
                <w:sz w:val="24"/>
                <w:szCs w:val="24"/>
                <w:lang w:val="en-US" w:eastAsia="zh-CN" w:bidi="ar-SA"/>
              </w:rPr>
            </w:pPr>
            <w:r>
              <w:rPr>
                <w:rFonts w:hint="eastAsia" w:ascii="宋体" w:hAnsi="宋体" w:eastAsia="宋体" w:cs="宋体"/>
                <w:kern w:val="2"/>
                <w:sz w:val="24"/>
                <w:szCs w:val="24"/>
                <w:lang w:val="en-US" w:eastAsia="zh-CN" w:bidi="ar-SA"/>
              </w:rPr>
              <w:t>1</w:t>
            </w:r>
          </w:p>
        </w:tc>
        <w:tc>
          <w:tcPr>
            <w:tcW w:w="1051" w:type="dxa"/>
            <w:vMerge w:val="restart"/>
            <w:tcBorders>
              <w:top w:val="single" w:color="auto" w:sz="4" w:space="0"/>
              <w:left w:val="single" w:color="auto" w:sz="4" w:space="0"/>
              <w:bottom w:val="single" w:color="auto" w:sz="4" w:space="0"/>
              <w:right w:val="single" w:color="auto" w:sz="4" w:space="0"/>
            </w:tcBorders>
            <w:shd w:val="clear" w:color="auto" w:fill="FFFFFF"/>
            <w:vAlign w:val="center"/>
          </w:tcPr>
          <w:p w14:paraId="4F433BD6">
            <w:pPr>
              <w:keepNext w:val="0"/>
              <w:keepLines w:val="0"/>
              <w:widowControl/>
              <w:suppressLineNumbers w:val="0"/>
              <w:jc w:val="center"/>
              <w:textAlignment w:val="center"/>
              <w:rPr>
                <w:rFonts w:hint="eastAsia" w:ascii="宋体" w:hAnsi="宋体" w:eastAsia="宋体" w:cs="宋体"/>
                <w:kern w:val="2"/>
                <w:sz w:val="24"/>
                <w:szCs w:val="24"/>
                <w:lang w:val="en-US" w:eastAsia="zh-CN" w:bidi="ar-SA"/>
              </w:rPr>
            </w:pPr>
            <w:r>
              <w:rPr>
                <w:rFonts w:hint="eastAsia" w:ascii="宋体" w:hAnsi="宋体" w:eastAsia="宋体" w:cs="宋体"/>
                <w:kern w:val="2"/>
                <w:sz w:val="24"/>
                <w:szCs w:val="24"/>
                <w:lang w:val="en-US" w:eastAsia="zh-CN" w:bidi="ar-SA"/>
              </w:rPr>
              <w:t>技术方案与服务能力</w:t>
            </w:r>
          </w:p>
        </w:tc>
        <w:tc>
          <w:tcPr>
            <w:tcW w:w="976" w:type="dxa"/>
            <w:vMerge w:val="restart"/>
            <w:tcBorders>
              <w:top w:val="single" w:color="auto" w:sz="4" w:space="0"/>
              <w:left w:val="single" w:color="auto" w:sz="4" w:space="0"/>
              <w:bottom w:val="single" w:color="auto" w:sz="4" w:space="0"/>
              <w:right w:val="single" w:color="auto" w:sz="4" w:space="0"/>
            </w:tcBorders>
            <w:shd w:val="clear" w:color="auto" w:fill="FFFFFF"/>
            <w:vAlign w:val="center"/>
          </w:tcPr>
          <w:p w14:paraId="36A5BB68">
            <w:pPr>
              <w:keepNext w:val="0"/>
              <w:keepLines w:val="0"/>
              <w:widowControl/>
              <w:suppressLineNumbers w:val="0"/>
              <w:jc w:val="center"/>
              <w:textAlignment w:val="center"/>
              <w:rPr>
                <w:rFonts w:hint="default" w:ascii="宋体" w:hAnsi="宋体" w:eastAsia="宋体" w:cs="宋体"/>
                <w:kern w:val="2"/>
                <w:sz w:val="24"/>
                <w:szCs w:val="24"/>
                <w:lang w:val="en-US" w:eastAsia="zh-CN" w:bidi="ar-SA"/>
              </w:rPr>
            </w:pPr>
            <w:r>
              <w:rPr>
                <w:rFonts w:hint="eastAsia" w:ascii="宋体" w:hAnsi="宋体" w:cs="宋体"/>
                <w:kern w:val="2"/>
                <w:sz w:val="24"/>
                <w:szCs w:val="24"/>
                <w:lang w:val="en-US" w:eastAsia="zh-CN" w:bidi="ar-SA"/>
              </w:rPr>
              <w:t>6</w:t>
            </w:r>
            <w:r>
              <w:rPr>
                <w:rFonts w:hint="default" w:ascii="宋体" w:hAnsi="宋体" w:eastAsia="宋体" w:cs="宋体"/>
                <w:kern w:val="2"/>
                <w:sz w:val="24"/>
                <w:szCs w:val="24"/>
                <w:lang w:val="en-US" w:eastAsia="zh-CN" w:bidi="ar-SA"/>
              </w:rPr>
              <w:t>0%</w:t>
            </w:r>
          </w:p>
        </w:tc>
        <w:tc>
          <w:tcPr>
            <w:tcW w:w="832" w:type="dxa"/>
            <w:vMerge w:val="restart"/>
            <w:tcBorders>
              <w:top w:val="single" w:color="auto" w:sz="4" w:space="0"/>
              <w:left w:val="single" w:color="auto" w:sz="4" w:space="0"/>
              <w:bottom w:val="single" w:color="auto" w:sz="4" w:space="0"/>
              <w:right w:val="single" w:color="auto" w:sz="4" w:space="0"/>
            </w:tcBorders>
            <w:shd w:val="clear" w:color="auto" w:fill="FFFFFF"/>
            <w:vAlign w:val="center"/>
          </w:tcPr>
          <w:p w14:paraId="6F27BCBE">
            <w:pPr>
              <w:keepNext w:val="0"/>
              <w:keepLines w:val="0"/>
              <w:widowControl/>
              <w:suppressLineNumbers w:val="0"/>
              <w:jc w:val="center"/>
              <w:textAlignment w:val="center"/>
              <w:rPr>
                <w:rFonts w:hint="eastAsia" w:ascii="宋体" w:hAnsi="宋体" w:eastAsia="宋体" w:cs="宋体"/>
                <w:kern w:val="2"/>
                <w:sz w:val="24"/>
                <w:szCs w:val="24"/>
                <w:lang w:val="en-US" w:eastAsia="zh-CN" w:bidi="ar-SA"/>
              </w:rPr>
            </w:pPr>
            <w:r>
              <w:rPr>
                <w:rFonts w:hint="eastAsia" w:ascii="宋体" w:hAnsi="宋体" w:eastAsia="宋体" w:cs="宋体"/>
                <w:kern w:val="2"/>
                <w:sz w:val="24"/>
                <w:szCs w:val="24"/>
                <w:lang w:val="en-US" w:eastAsia="zh-CN" w:bidi="ar-SA"/>
              </w:rPr>
              <w:t>维修响应速度</w:t>
            </w:r>
          </w:p>
        </w:tc>
        <w:tc>
          <w:tcPr>
            <w:tcW w:w="4339" w:type="dxa"/>
            <w:tcBorders>
              <w:top w:val="single" w:color="auto" w:sz="4" w:space="0"/>
              <w:left w:val="single" w:color="auto" w:sz="4" w:space="0"/>
              <w:bottom w:val="single" w:color="auto" w:sz="4" w:space="0"/>
              <w:right w:val="single" w:color="auto" w:sz="4" w:space="0"/>
            </w:tcBorders>
            <w:shd w:val="clear" w:color="auto" w:fill="FFFFFF"/>
            <w:vAlign w:val="center"/>
          </w:tcPr>
          <w:p w14:paraId="595DEE8F">
            <w:pPr>
              <w:keepNext w:val="0"/>
              <w:keepLines w:val="0"/>
              <w:widowControl/>
              <w:suppressLineNumbers w:val="0"/>
              <w:jc w:val="left"/>
              <w:textAlignment w:val="center"/>
              <w:rPr>
                <w:rFonts w:hint="eastAsia" w:ascii="宋体" w:hAnsi="宋体" w:eastAsia="宋体" w:cs="宋体"/>
                <w:kern w:val="2"/>
                <w:sz w:val="24"/>
                <w:szCs w:val="24"/>
                <w:lang w:val="en-US" w:eastAsia="zh-CN" w:bidi="ar-SA"/>
              </w:rPr>
            </w:pPr>
            <w:r>
              <w:rPr>
                <w:rFonts w:hint="eastAsia" w:ascii="宋体" w:hAnsi="宋体" w:eastAsia="宋体" w:cs="宋体"/>
                <w:kern w:val="2"/>
                <w:sz w:val="24"/>
                <w:szCs w:val="24"/>
                <w:lang w:val="en-US" w:eastAsia="zh-CN" w:bidi="ar-SA"/>
              </w:rPr>
              <w:t>完全满足接到甲方取件要求后“6小时内到现场取件”要求得5-8分；</w:t>
            </w:r>
            <w:r>
              <w:rPr>
                <w:rFonts w:hint="eastAsia" w:ascii="宋体" w:hAnsi="宋体" w:eastAsia="宋体" w:cs="宋体"/>
                <w:kern w:val="2"/>
                <w:sz w:val="24"/>
                <w:szCs w:val="24"/>
                <w:lang w:val="en-US" w:eastAsia="zh-CN" w:bidi="ar-SA"/>
              </w:rPr>
              <w:br w:type="textWrapping"/>
            </w:r>
            <w:r>
              <w:rPr>
                <w:rFonts w:hint="eastAsia" w:ascii="宋体" w:hAnsi="宋体" w:eastAsia="宋体" w:cs="宋体"/>
                <w:kern w:val="2"/>
                <w:sz w:val="24"/>
                <w:szCs w:val="24"/>
                <w:lang w:val="en-US" w:eastAsia="zh-CN" w:bidi="ar-SA"/>
              </w:rPr>
              <w:t>承诺时间更短（如4小时内）可酌情加9-10分；</w:t>
            </w:r>
            <w:r>
              <w:rPr>
                <w:rFonts w:hint="eastAsia" w:ascii="宋体" w:hAnsi="宋体" w:eastAsia="宋体" w:cs="宋体"/>
                <w:kern w:val="2"/>
                <w:sz w:val="24"/>
                <w:szCs w:val="24"/>
                <w:lang w:val="en-US" w:eastAsia="zh-CN" w:bidi="ar-SA"/>
              </w:rPr>
              <w:br w:type="textWrapping"/>
            </w:r>
            <w:r>
              <w:rPr>
                <w:rFonts w:hint="eastAsia" w:ascii="宋体" w:hAnsi="宋体" w:eastAsia="宋体" w:cs="宋体"/>
                <w:kern w:val="2"/>
                <w:sz w:val="24"/>
                <w:szCs w:val="24"/>
                <w:lang w:val="en-US" w:eastAsia="zh-CN" w:bidi="ar-SA"/>
              </w:rPr>
              <w:t>无法满足或时间更长者得0-5分。</w:t>
            </w:r>
          </w:p>
        </w:tc>
        <w:tc>
          <w:tcPr>
            <w:tcW w:w="744" w:type="dxa"/>
            <w:tcBorders>
              <w:top w:val="single" w:color="auto" w:sz="4" w:space="0"/>
              <w:left w:val="single" w:color="auto" w:sz="4" w:space="0"/>
              <w:bottom w:val="single" w:color="auto" w:sz="4" w:space="0"/>
              <w:right w:val="single" w:color="auto" w:sz="4" w:space="0"/>
            </w:tcBorders>
            <w:shd w:val="clear" w:color="auto" w:fill="FFFFFF"/>
            <w:vAlign w:val="center"/>
          </w:tcPr>
          <w:p w14:paraId="5400F340">
            <w:pPr>
              <w:keepNext w:val="0"/>
              <w:keepLines w:val="0"/>
              <w:widowControl/>
              <w:suppressLineNumbers w:val="0"/>
              <w:jc w:val="center"/>
              <w:textAlignment w:val="center"/>
              <w:rPr>
                <w:rFonts w:hint="default" w:ascii="宋体" w:hAnsi="宋体" w:eastAsia="宋体" w:cs="宋体"/>
                <w:kern w:val="2"/>
                <w:sz w:val="24"/>
                <w:szCs w:val="24"/>
                <w:lang w:val="en-US" w:eastAsia="zh-CN" w:bidi="ar-SA"/>
              </w:rPr>
            </w:pPr>
            <w:r>
              <w:rPr>
                <w:rFonts w:hint="default" w:ascii="Segoe UI" w:hAnsi="Segoe UI" w:eastAsia="Segoe UI" w:cs="Segoe UI"/>
                <w:i w:val="0"/>
                <w:iCs w:val="0"/>
                <w:color w:val="0F1115"/>
                <w:kern w:val="0"/>
                <w:sz w:val="22"/>
                <w:szCs w:val="22"/>
                <w:u w:val="none"/>
                <w:lang w:val="en-US" w:eastAsia="zh-CN" w:bidi="ar"/>
              </w:rPr>
              <w:t>10</w:t>
            </w:r>
          </w:p>
        </w:tc>
        <w:tc>
          <w:tcPr>
            <w:tcW w:w="744" w:type="dxa"/>
            <w:vMerge w:val="restart"/>
            <w:tcBorders>
              <w:top w:val="single" w:color="auto" w:sz="4" w:space="0"/>
              <w:left w:val="single" w:color="auto" w:sz="4" w:space="0"/>
              <w:bottom w:val="single" w:color="auto" w:sz="4" w:space="0"/>
              <w:right w:val="single" w:color="auto" w:sz="4" w:space="0"/>
            </w:tcBorders>
            <w:shd w:val="clear" w:color="auto" w:fill="FFFFFF"/>
            <w:vAlign w:val="center"/>
          </w:tcPr>
          <w:p w14:paraId="6CA4CF46">
            <w:pPr>
              <w:keepNext w:val="0"/>
              <w:keepLines w:val="0"/>
              <w:widowControl/>
              <w:suppressLineNumbers w:val="0"/>
              <w:jc w:val="center"/>
              <w:textAlignment w:val="center"/>
              <w:rPr>
                <w:rFonts w:hint="default" w:ascii="宋体" w:hAnsi="宋体" w:eastAsia="宋体" w:cs="宋体"/>
                <w:kern w:val="2"/>
                <w:sz w:val="24"/>
                <w:szCs w:val="24"/>
                <w:lang w:val="en-US" w:eastAsia="zh-CN" w:bidi="ar-SA"/>
              </w:rPr>
            </w:pPr>
          </w:p>
        </w:tc>
      </w:tr>
      <w:tr w14:paraId="42696BE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040" w:hRule="atLeast"/>
        </w:trPr>
        <w:tc>
          <w:tcPr>
            <w:tcW w:w="584" w:type="dxa"/>
            <w:vMerge w:val="continue"/>
            <w:tcBorders>
              <w:top w:val="single" w:color="auto" w:sz="4" w:space="0"/>
              <w:left w:val="single" w:color="auto" w:sz="4" w:space="0"/>
              <w:bottom w:val="single" w:color="auto" w:sz="4" w:space="0"/>
              <w:right w:val="single" w:color="auto" w:sz="4" w:space="0"/>
            </w:tcBorders>
            <w:shd w:val="clear" w:color="auto" w:fill="FFFFFF"/>
            <w:vAlign w:val="center"/>
          </w:tcPr>
          <w:p w14:paraId="3E8C45D7">
            <w:pPr>
              <w:keepNext w:val="0"/>
              <w:keepLines w:val="0"/>
              <w:widowControl/>
              <w:suppressLineNumbers w:val="0"/>
              <w:jc w:val="center"/>
              <w:textAlignment w:val="center"/>
              <w:rPr>
                <w:rFonts w:hint="eastAsia" w:ascii="宋体" w:hAnsi="宋体" w:eastAsia="宋体" w:cs="宋体"/>
                <w:kern w:val="2"/>
                <w:sz w:val="24"/>
                <w:szCs w:val="24"/>
                <w:lang w:val="en-US" w:eastAsia="zh-CN" w:bidi="ar-SA"/>
              </w:rPr>
            </w:pPr>
          </w:p>
        </w:tc>
        <w:tc>
          <w:tcPr>
            <w:tcW w:w="1051" w:type="dxa"/>
            <w:vMerge w:val="continue"/>
            <w:tcBorders>
              <w:top w:val="single" w:color="auto" w:sz="4" w:space="0"/>
              <w:left w:val="single" w:color="auto" w:sz="4" w:space="0"/>
              <w:bottom w:val="single" w:color="auto" w:sz="4" w:space="0"/>
              <w:right w:val="single" w:color="auto" w:sz="4" w:space="0"/>
            </w:tcBorders>
            <w:shd w:val="clear" w:color="auto" w:fill="FFFFFF"/>
            <w:vAlign w:val="center"/>
          </w:tcPr>
          <w:p w14:paraId="20D45307">
            <w:pPr>
              <w:keepNext w:val="0"/>
              <w:keepLines w:val="0"/>
              <w:widowControl/>
              <w:suppressLineNumbers w:val="0"/>
              <w:jc w:val="center"/>
              <w:textAlignment w:val="center"/>
              <w:rPr>
                <w:rFonts w:hint="eastAsia" w:ascii="宋体" w:hAnsi="宋体" w:eastAsia="宋体" w:cs="宋体"/>
                <w:kern w:val="2"/>
                <w:sz w:val="24"/>
                <w:szCs w:val="24"/>
                <w:lang w:val="en-US" w:eastAsia="zh-CN" w:bidi="ar-SA"/>
              </w:rPr>
            </w:pPr>
          </w:p>
        </w:tc>
        <w:tc>
          <w:tcPr>
            <w:tcW w:w="976" w:type="dxa"/>
            <w:vMerge w:val="continue"/>
            <w:tcBorders>
              <w:top w:val="single" w:color="auto" w:sz="4" w:space="0"/>
              <w:left w:val="single" w:color="auto" w:sz="4" w:space="0"/>
              <w:bottom w:val="single" w:color="auto" w:sz="4" w:space="0"/>
              <w:right w:val="single" w:color="auto" w:sz="4" w:space="0"/>
            </w:tcBorders>
            <w:shd w:val="clear" w:color="auto" w:fill="FFFFFF"/>
            <w:vAlign w:val="center"/>
          </w:tcPr>
          <w:p w14:paraId="517E3A09">
            <w:pPr>
              <w:keepNext w:val="0"/>
              <w:keepLines w:val="0"/>
              <w:widowControl/>
              <w:suppressLineNumbers w:val="0"/>
              <w:jc w:val="center"/>
              <w:textAlignment w:val="center"/>
              <w:rPr>
                <w:rFonts w:hint="default" w:ascii="宋体" w:hAnsi="宋体" w:eastAsia="宋体" w:cs="宋体"/>
                <w:kern w:val="2"/>
                <w:sz w:val="24"/>
                <w:szCs w:val="24"/>
                <w:lang w:val="en-US" w:eastAsia="zh-CN" w:bidi="ar-SA"/>
              </w:rPr>
            </w:pPr>
          </w:p>
        </w:tc>
        <w:tc>
          <w:tcPr>
            <w:tcW w:w="832" w:type="dxa"/>
            <w:vMerge w:val="continue"/>
            <w:tcBorders>
              <w:top w:val="single" w:color="auto" w:sz="4" w:space="0"/>
              <w:left w:val="single" w:color="auto" w:sz="4" w:space="0"/>
              <w:bottom w:val="single" w:color="auto" w:sz="4" w:space="0"/>
              <w:right w:val="single" w:color="auto" w:sz="4" w:space="0"/>
            </w:tcBorders>
            <w:shd w:val="clear" w:color="auto" w:fill="FFFFFF"/>
            <w:vAlign w:val="center"/>
          </w:tcPr>
          <w:p w14:paraId="06B41EA0">
            <w:pPr>
              <w:keepNext w:val="0"/>
              <w:keepLines w:val="0"/>
              <w:widowControl/>
              <w:suppressLineNumbers w:val="0"/>
              <w:jc w:val="center"/>
              <w:textAlignment w:val="center"/>
              <w:rPr>
                <w:rFonts w:hint="eastAsia" w:ascii="宋体" w:hAnsi="宋体" w:eastAsia="宋体" w:cs="宋体"/>
                <w:kern w:val="2"/>
                <w:sz w:val="24"/>
                <w:szCs w:val="24"/>
                <w:lang w:val="en-US" w:eastAsia="zh-CN" w:bidi="ar-SA"/>
              </w:rPr>
            </w:pPr>
          </w:p>
        </w:tc>
        <w:tc>
          <w:tcPr>
            <w:tcW w:w="4339" w:type="dxa"/>
            <w:tcBorders>
              <w:top w:val="single" w:color="auto" w:sz="4" w:space="0"/>
              <w:left w:val="single" w:color="auto" w:sz="4" w:space="0"/>
              <w:bottom w:val="single" w:color="auto" w:sz="4" w:space="0"/>
              <w:right w:val="single" w:color="auto" w:sz="4" w:space="0"/>
            </w:tcBorders>
            <w:shd w:val="clear" w:color="auto" w:fill="FFFFFF"/>
            <w:vAlign w:val="center"/>
          </w:tcPr>
          <w:p w14:paraId="5D149682">
            <w:pPr>
              <w:keepNext w:val="0"/>
              <w:keepLines w:val="0"/>
              <w:widowControl/>
              <w:suppressLineNumbers w:val="0"/>
              <w:jc w:val="left"/>
              <w:textAlignment w:val="center"/>
              <w:rPr>
                <w:rFonts w:hint="eastAsia" w:ascii="宋体" w:hAnsi="宋体" w:eastAsia="宋体" w:cs="宋体"/>
                <w:kern w:val="2"/>
                <w:sz w:val="24"/>
                <w:szCs w:val="24"/>
                <w:lang w:val="en-US" w:eastAsia="zh-CN" w:bidi="ar-SA"/>
              </w:rPr>
            </w:pPr>
            <w:r>
              <w:rPr>
                <w:rFonts w:hint="eastAsia" w:ascii="宋体" w:hAnsi="宋体" w:eastAsia="宋体" w:cs="宋体"/>
                <w:kern w:val="2"/>
                <w:sz w:val="24"/>
                <w:szCs w:val="24"/>
                <w:lang w:val="en-US" w:eastAsia="zh-CN" w:bidi="ar-SA"/>
              </w:rPr>
              <w:t>完全满足“1-5个工作日内修复”要求得5-8分；</w:t>
            </w:r>
            <w:r>
              <w:rPr>
                <w:rFonts w:hint="eastAsia" w:ascii="宋体" w:hAnsi="宋体" w:eastAsia="宋体" w:cs="宋体"/>
                <w:kern w:val="2"/>
                <w:sz w:val="24"/>
                <w:szCs w:val="24"/>
                <w:lang w:val="en-US" w:eastAsia="zh-CN" w:bidi="ar-SA"/>
              </w:rPr>
              <w:br w:type="textWrapping"/>
            </w:r>
            <w:r>
              <w:rPr>
                <w:rFonts w:hint="eastAsia" w:ascii="宋体" w:hAnsi="宋体" w:eastAsia="宋体" w:cs="宋体"/>
                <w:kern w:val="2"/>
                <w:sz w:val="24"/>
                <w:szCs w:val="24"/>
                <w:lang w:val="en-US" w:eastAsia="zh-CN" w:bidi="ar-SA"/>
              </w:rPr>
              <w:t>有明确的分级维修机制（如简单故障1天，复杂故障5天）且方案合理者得9-10分。</w:t>
            </w:r>
          </w:p>
        </w:tc>
        <w:tc>
          <w:tcPr>
            <w:tcW w:w="744" w:type="dxa"/>
            <w:tcBorders>
              <w:top w:val="single" w:color="auto" w:sz="4" w:space="0"/>
              <w:left w:val="single" w:color="auto" w:sz="4" w:space="0"/>
              <w:bottom w:val="single" w:color="auto" w:sz="4" w:space="0"/>
              <w:right w:val="single" w:color="auto" w:sz="4" w:space="0"/>
            </w:tcBorders>
            <w:shd w:val="clear" w:color="auto" w:fill="FFFFFF"/>
            <w:vAlign w:val="center"/>
          </w:tcPr>
          <w:p w14:paraId="0AB9AF75">
            <w:pPr>
              <w:keepNext w:val="0"/>
              <w:keepLines w:val="0"/>
              <w:widowControl/>
              <w:suppressLineNumbers w:val="0"/>
              <w:jc w:val="center"/>
              <w:textAlignment w:val="center"/>
              <w:rPr>
                <w:rFonts w:hint="default" w:ascii="宋体" w:hAnsi="宋体" w:eastAsia="宋体" w:cs="宋体"/>
                <w:kern w:val="2"/>
                <w:sz w:val="24"/>
                <w:szCs w:val="24"/>
                <w:lang w:val="en-US" w:eastAsia="zh-CN" w:bidi="ar-SA"/>
              </w:rPr>
            </w:pPr>
            <w:r>
              <w:rPr>
                <w:rFonts w:hint="default" w:ascii="Segoe UI" w:hAnsi="Segoe UI" w:eastAsia="Segoe UI" w:cs="Segoe UI"/>
                <w:i w:val="0"/>
                <w:iCs w:val="0"/>
                <w:color w:val="0F1115"/>
                <w:kern w:val="0"/>
                <w:sz w:val="22"/>
                <w:szCs w:val="22"/>
                <w:u w:val="none"/>
                <w:lang w:val="en-US" w:eastAsia="zh-CN" w:bidi="ar"/>
              </w:rPr>
              <w:t>10</w:t>
            </w:r>
          </w:p>
        </w:tc>
        <w:tc>
          <w:tcPr>
            <w:tcW w:w="744" w:type="dxa"/>
            <w:vMerge w:val="continue"/>
            <w:tcBorders>
              <w:top w:val="single" w:color="auto" w:sz="4" w:space="0"/>
              <w:left w:val="single" w:color="auto" w:sz="4" w:space="0"/>
              <w:bottom w:val="single" w:color="auto" w:sz="4" w:space="0"/>
              <w:right w:val="single" w:color="auto" w:sz="4" w:space="0"/>
            </w:tcBorders>
            <w:shd w:val="clear" w:color="auto" w:fill="FFFFFF"/>
            <w:vAlign w:val="center"/>
          </w:tcPr>
          <w:p w14:paraId="18260614">
            <w:pPr>
              <w:keepNext w:val="0"/>
              <w:keepLines w:val="0"/>
              <w:widowControl/>
              <w:suppressLineNumbers w:val="0"/>
              <w:jc w:val="center"/>
              <w:textAlignment w:val="center"/>
              <w:rPr>
                <w:rFonts w:hint="default" w:ascii="宋体" w:hAnsi="宋体" w:eastAsia="宋体" w:cs="宋体"/>
                <w:kern w:val="2"/>
                <w:sz w:val="24"/>
                <w:szCs w:val="24"/>
                <w:lang w:val="en-US" w:eastAsia="zh-CN" w:bidi="ar-SA"/>
              </w:rPr>
            </w:pPr>
          </w:p>
        </w:tc>
      </w:tr>
      <w:tr w14:paraId="47BC715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040" w:hRule="atLeast"/>
        </w:trPr>
        <w:tc>
          <w:tcPr>
            <w:tcW w:w="584" w:type="dxa"/>
            <w:vMerge w:val="continue"/>
            <w:tcBorders>
              <w:top w:val="single" w:color="auto" w:sz="4" w:space="0"/>
              <w:left w:val="single" w:color="auto" w:sz="4" w:space="0"/>
              <w:bottom w:val="single" w:color="auto" w:sz="4" w:space="0"/>
              <w:right w:val="single" w:color="auto" w:sz="4" w:space="0"/>
            </w:tcBorders>
            <w:shd w:val="clear" w:color="auto" w:fill="FFFFFF"/>
            <w:vAlign w:val="center"/>
          </w:tcPr>
          <w:p w14:paraId="0A64F7A6">
            <w:pPr>
              <w:keepNext w:val="0"/>
              <w:keepLines w:val="0"/>
              <w:widowControl/>
              <w:suppressLineNumbers w:val="0"/>
              <w:jc w:val="center"/>
              <w:textAlignment w:val="center"/>
              <w:rPr>
                <w:rFonts w:hint="eastAsia" w:ascii="宋体" w:hAnsi="宋体" w:eastAsia="宋体" w:cs="宋体"/>
                <w:kern w:val="2"/>
                <w:sz w:val="24"/>
                <w:szCs w:val="24"/>
                <w:lang w:val="en-US" w:eastAsia="zh-CN" w:bidi="ar-SA"/>
              </w:rPr>
            </w:pPr>
          </w:p>
        </w:tc>
        <w:tc>
          <w:tcPr>
            <w:tcW w:w="1051" w:type="dxa"/>
            <w:vMerge w:val="continue"/>
            <w:tcBorders>
              <w:top w:val="single" w:color="auto" w:sz="4" w:space="0"/>
              <w:left w:val="single" w:color="auto" w:sz="4" w:space="0"/>
              <w:bottom w:val="single" w:color="auto" w:sz="4" w:space="0"/>
              <w:right w:val="single" w:color="auto" w:sz="4" w:space="0"/>
            </w:tcBorders>
            <w:shd w:val="clear" w:color="auto" w:fill="FFFFFF"/>
            <w:vAlign w:val="center"/>
          </w:tcPr>
          <w:p w14:paraId="4846C530">
            <w:pPr>
              <w:keepNext w:val="0"/>
              <w:keepLines w:val="0"/>
              <w:widowControl/>
              <w:suppressLineNumbers w:val="0"/>
              <w:jc w:val="center"/>
              <w:textAlignment w:val="center"/>
              <w:rPr>
                <w:rFonts w:hint="eastAsia" w:ascii="宋体" w:hAnsi="宋体" w:eastAsia="宋体" w:cs="宋体"/>
                <w:kern w:val="2"/>
                <w:sz w:val="24"/>
                <w:szCs w:val="24"/>
                <w:lang w:val="en-US" w:eastAsia="zh-CN" w:bidi="ar-SA"/>
              </w:rPr>
            </w:pPr>
          </w:p>
        </w:tc>
        <w:tc>
          <w:tcPr>
            <w:tcW w:w="976" w:type="dxa"/>
            <w:vMerge w:val="continue"/>
            <w:tcBorders>
              <w:top w:val="single" w:color="auto" w:sz="4" w:space="0"/>
              <w:left w:val="single" w:color="auto" w:sz="4" w:space="0"/>
              <w:bottom w:val="single" w:color="auto" w:sz="4" w:space="0"/>
              <w:right w:val="single" w:color="auto" w:sz="4" w:space="0"/>
            </w:tcBorders>
            <w:shd w:val="clear" w:color="auto" w:fill="FFFFFF"/>
            <w:vAlign w:val="center"/>
          </w:tcPr>
          <w:p w14:paraId="15F04D25">
            <w:pPr>
              <w:keepNext w:val="0"/>
              <w:keepLines w:val="0"/>
              <w:widowControl/>
              <w:suppressLineNumbers w:val="0"/>
              <w:jc w:val="center"/>
              <w:textAlignment w:val="center"/>
              <w:rPr>
                <w:rFonts w:hint="default" w:ascii="宋体" w:hAnsi="宋体" w:eastAsia="宋体" w:cs="宋体"/>
                <w:kern w:val="2"/>
                <w:sz w:val="24"/>
                <w:szCs w:val="24"/>
                <w:lang w:val="en-US" w:eastAsia="zh-CN" w:bidi="ar-SA"/>
              </w:rPr>
            </w:pPr>
          </w:p>
        </w:tc>
        <w:tc>
          <w:tcPr>
            <w:tcW w:w="832" w:type="dxa"/>
            <w:tcBorders>
              <w:top w:val="single" w:color="auto" w:sz="4" w:space="0"/>
              <w:left w:val="single" w:color="auto" w:sz="4" w:space="0"/>
              <w:bottom w:val="single" w:color="auto" w:sz="4" w:space="0"/>
              <w:right w:val="single" w:color="auto" w:sz="4" w:space="0"/>
            </w:tcBorders>
            <w:shd w:val="clear" w:color="auto" w:fill="FFFFFF"/>
            <w:vAlign w:val="center"/>
          </w:tcPr>
          <w:p w14:paraId="587BE74A">
            <w:pPr>
              <w:keepNext w:val="0"/>
              <w:keepLines w:val="0"/>
              <w:widowControl/>
              <w:suppressLineNumbers w:val="0"/>
              <w:jc w:val="center"/>
              <w:textAlignment w:val="center"/>
              <w:rPr>
                <w:rFonts w:hint="eastAsia" w:ascii="宋体" w:hAnsi="宋体" w:eastAsia="宋体" w:cs="宋体"/>
                <w:kern w:val="2"/>
                <w:sz w:val="24"/>
                <w:szCs w:val="24"/>
                <w:lang w:val="en-US" w:eastAsia="zh-CN" w:bidi="ar-SA"/>
              </w:rPr>
            </w:pPr>
            <w:r>
              <w:rPr>
                <w:rFonts w:hint="eastAsia" w:ascii="宋体" w:hAnsi="宋体" w:eastAsia="宋体" w:cs="宋体"/>
                <w:kern w:val="2"/>
                <w:sz w:val="24"/>
                <w:szCs w:val="24"/>
                <w:lang w:val="en-US" w:eastAsia="zh-CN" w:bidi="ar-SA"/>
              </w:rPr>
              <w:t>电机维修工艺与技术实力</w:t>
            </w:r>
          </w:p>
        </w:tc>
        <w:tc>
          <w:tcPr>
            <w:tcW w:w="4339" w:type="dxa"/>
            <w:tcBorders>
              <w:top w:val="single" w:color="auto" w:sz="4" w:space="0"/>
              <w:left w:val="single" w:color="auto" w:sz="4" w:space="0"/>
              <w:bottom w:val="single" w:color="auto" w:sz="4" w:space="0"/>
              <w:right w:val="single" w:color="auto" w:sz="4" w:space="0"/>
            </w:tcBorders>
            <w:shd w:val="clear" w:color="auto" w:fill="FFFFFF"/>
            <w:vAlign w:val="center"/>
          </w:tcPr>
          <w:p w14:paraId="24FFA780">
            <w:pPr>
              <w:keepNext w:val="0"/>
              <w:keepLines w:val="0"/>
              <w:widowControl/>
              <w:suppressLineNumbers w:val="0"/>
              <w:jc w:val="left"/>
              <w:textAlignment w:val="center"/>
              <w:rPr>
                <w:rFonts w:hint="eastAsia" w:ascii="宋体" w:hAnsi="宋体" w:eastAsia="宋体" w:cs="宋体"/>
                <w:kern w:val="2"/>
                <w:sz w:val="24"/>
                <w:szCs w:val="24"/>
                <w:lang w:val="en-US" w:eastAsia="zh-CN" w:bidi="ar-SA"/>
              </w:rPr>
            </w:pPr>
            <w:r>
              <w:rPr>
                <w:rFonts w:hint="eastAsia" w:ascii="宋体" w:hAnsi="宋体" w:eastAsia="宋体" w:cs="宋体"/>
                <w:kern w:val="2"/>
                <w:sz w:val="24"/>
                <w:szCs w:val="24"/>
                <w:lang w:val="en-US" w:eastAsia="zh-CN" w:bidi="ar-SA"/>
              </w:rPr>
              <w:t>详细说明绕线圈的工艺流程、采用的绝缘材料品牌等级、真空浸漆设备、动平衡测试设备等。</w:t>
            </w:r>
          </w:p>
          <w:p w14:paraId="6F785268">
            <w:pPr>
              <w:keepNext w:val="0"/>
              <w:keepLines w:val="0"/>
              <w:widowControl/>
              <w:suppressLineNumbers w:val="0"/>
              <w:jc w:val="left"/>
              <w:textAlignment w:val="center"/>
              <w:rPr>
                <w:rFonts w:hint="eastAsia" w:ascii="宋体" w:hAnsi="宋体" w:eastAsia="宋体" w:cs="宋体"/>
                <w:kern w:val="2"/>
                <w:sz w:val="24"/>
                <w:szCs w:val="24"/>
                <w:lang w:val="en-US" w:eastAsia="zh-CN" w:bidi="ar-SA"/>
              </w:rPr>
            </w:pPr>
            <w:r>
              <w:rPr>
                <w:rFonts w:hint="eastAsia" w:ascii="宋体" w:hAnsi="宋体" w:eastAsia="宋体" w:cs="宋体"/>
                <w:kern w:val="2"/>
                <w:sz w:val="24"/>
                <w:szCs w:val="24"/>
                <w:lang w:val="en-US" w:eastAsia="zh-CN" w:bidi="ar-SA"/>
              </w:rPr>
              <w:t>工艺先进、材料优质、设备齐全者得20-30分；</w:t>
            </w:r>
          </w:p>
          <w:p w14:paraId="1505F8FD">
            <w:pPr>
              <w:keepNext w:val="0"/>
              <w:keepLines w:val="0"/>
              <w:widowControl/>
              <w:suppressLineNumbers w:val="0"/>
              <w:jc w:val="left"/>
              <w:textAlignment w:val="center"/>
              <w:rPr>
                <w:rFonts w:hint="eastAsia" w:ascii="宋体" w:hAnsi="宋体" w:eastAsia="宋体" w:cs="宋体"/>
                <w:kern w:val="2"/>
                <w:sz w:val="24"/>
                <w:szCs w:val="24"/>
                <w:lang w:val="en-US" w:eastAsia="zh-CN" w:bidi="ar-SA"/>
              </w:rPr>
            </w:pPr>
            <w:r>
              <w:rPr>
                <w:rFonts w:hint="eastAsia" w:ascii="宋体" w:hAnsi="宋体" w:eastAsia="宋体" w:cs="宋体"/>
                <w:kern w:val="2"/>
                <w:sz w:val="24"/>
                <w:szCs w:val="24"/>
                <w:lang w:val="en-US" w:eastAsia="zh-CN" w:bidi="ar-SA"/>
              </w:rPr>
              <w:t>工艺常规、设备一般者得10-20分；</w:t>
            </w:r>
          </w:p>
          <w:p w14:paraId="335F85FD">
            <w:pPr>
              <w:keepNext w:val="0"/>
              <w:keepLines w:val="0"/>
              <w:widowControl/>
              <w:suppressLineNumbers w:val="0"/>
              <w:jc w:val="left"/>
              <w:textAlignment w:val="center"/>
              <w:rPr>
                <w:rFonts w:hint="eastAsia" w:ascii="宋体" w:hAnsi="宋体" w:eastAsia="宋体" w:cs="宋体"/>
                <w:kern w:val="2"/>
                <w:sz w:val="24"/>
                <w:szCs w:val="24"/>
                <w:lang w:val="en-US" w:eastAsia="zh-CN" w:bidi="ar-SA"/>
              </w:rPr>
            </w:pPr>
            <w:r>
              <w:rPr>
                <w:rFonts w:hint="eastAsia" w:ascii="宋体" w:hAnsi="宋体" w:eastAsia="宋体" w:cs="宋体"/>
                <w:kern w:val="2"/>
                <w:sz w:val="24"/>
                <w:szCs w:val="24"/>
                <w:lang w:val="en-US" w:eastAsia="zh-CN" w:bidi="ar-SA"/>
              </w:rPr>
              <w:t>描述模糊者得0-10分。</w:t>
            </w:r>
          </w:p>
        </w:tc>
        <w:tc>
          <w:tcPr>
            <w:tcW w:w="744" w:type="dxa"/>
            <w:tcBorders>
              <w:top w:val="single" w:color="auto" w:sz="4" w:space="0"/>
              <w:left w:val="single" w:color="auto" w:sz="4" w:space="0"/>
              <w:bottom w:val="single" w:color="auto" w:sz="4" w:space="0"/>
              <w:right w:val="single" w:color="auto" w:sz="4" w:space="0"/>
            </w:tcBorders>
            <w:shd w:val="clear" w:color="auto" w:fill="FFFFFF"/>
            <w:vAlign w:val="center"/>
          </w:tcPr>
          <w:p w14:paraId="7564224B">
            <w:pPr>
              <w:keepNext w:val="0"/>
              <w:keepLines w:val="0"/>
              <w:widowControl/>
              <w:suppressLineNumbers w:val="0"/>
              <w:jc w:val="center"/>
              <w:textAlignment w:val="center"/>
              <w:rPr>
                <w:rFonts w:hint="default" w:ascii="宋体" w:hAnsi="宋体" w:eastAsia="宋体" w:cs="宋体"/>
                <w:kern w:val="2"/>
                <w:sz w:val="24"/>
                <w:szCs w:val="24"/>
                <w:lang w:val="en-US" w:eastAsia="zh-CN" w:bidi="ar-SA"/>
              </w:rPr>
            </w:pPr>
            <w:r>
              <w:rPr>
                <w:rFonts w:hint="eastAsia" w:ascii="宋体" w:hAnsi="宋体" w:cs="宋体"/>
                <w:kern w:val="2"/>
                <w:sz w:val="24"/>
                <w:szCs w:val="24"/>
                <w:lang w:val="en-US" w:eastAsia="zh-CN" w:bidi="ar-SA"/>
              </w:rPr>
              <w:t>3</w:t>
            </w:r>
            <w:r>
              <w:rPr>
                <w:rFonts w:hint="default" w:ascii="宋体" w:hAnsi="宋体" w:eastAsia="宋体" w:cs="宋体"/>
                <w:kern w:val="2"/>
                <w:sz w:val="24"/>
                <w:szCs w:val="24"/>
                <w:lang w:val="en-US" w:eastAsia="zh-CN" w:bidi="ar-SA"/>
              </w:rPr>
              <w:t>0</w:t>
            </w:r>
          </w:p>
        </w:tc>
        <w:tc>
          <w:tcPr>
            <w:tcW w:w="744" w:type="dxa"/>
            <w:tcBorders>
              <w:top w:val="single" w:color="auto" w:sz="4" w:space="0"/>
              <w:left w:val="single" w:color="auto" w:sz="4" w:space="0"/>
              <w:bottom w:val="single" w:color="auto" w:sz="4" w:space="0"/>
              <w:right w:val="single" w:color="auto" w:sz="4" w:space="0"/>
            </w:tcBorders>
            <w:shd w:val="clear" w:color="auto" w:fill="FFFFFF"/>
            <w:vAlign w:val="center"/>
          </w:tcPr>
          <w:p w14:paraId="3E5E9E28">
            <w:pPr>
              <w:keepNext w:val="0"/>
              <w:keepLines w:val="0"/>
              <w:widowControl/>
              <w:suppressLineNumbers w:val="0"/>
              <w:jc w:val="center"/>
              <w:textAlignment w:val="center"/>
              <w:rPr>
                <w:rFonts w:hint="default" w:ascii="宋体" w:hAnsi="宋体" w:eastAsia="宋体" w:cs="宋体"/>
                <w:kern w:val="2"/>
                <w:sz w:val="24"/>
                <w:szCs w:val="24"/>
                <w:lang w:val="en-US" w:eastAsia="zh-CN" w:bidi="ar-SA"/>
              </w:rPr>
            </w:pPr>
          </w:p>
        </w:tc>
      </w:tr>
      <w:tr w14:paraId="122B609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040" w:hRule="atLeast"/>
        </w:trPr>
        <w:tc>
          <w:tcPr>
            <w:tcW w:w="584" w:type="dxa"/>
            <w:vMerge w:val="continue"/>
            <w:tcBorders>
              <w:top w:val="single" w:color="auto" w:sz="4" w:space="0"/>
              <w:left w:val="single" w:color="auto" w:sz="4" w:space="0"/>
              <w:bottom w:val="single" w:color="auto" w:sz="4" w:space="0"/>
              <w:right w:val="single" w:color="auto" w:sz="4" w:space="0"/>
            </w:tcBorders>
            <w:shd w:val="clear" w:color="auto" w:fill="FFFFFF"/>
            <w:vAlign w:val="center"/>
          </w:tcPr>
          <w:p w14:paraId="48E21DFB">
            <w:pPr>
              <w:keepNext w:val="0"/>
              <w:keepLines w:val="0"/>
              <w:widowControl/>
              <w:suppressLineNumbers w:val="0"/>
              <w:jc w:val="center"/>
              <w:textAlignment w:val="center"/>
              <w:rPr>
                <w:rFonts w:hint="eastAsia" w:ascii="宋体" w:hAnsi="宋体" w:eastAsia="宋体" w:cs="宋体"/>
                <w:kern w:val="2"/>
                <w:sz w:val="24"/>
                <w:szCs w:val="24"/>
                <w:lang w:val="en-US" w:eastAsia="zh-CN" w:bidi="ar-SA"/>
              </w:rPr>
            </w:pPr>
          </w:p>
        </w:tc>
        <w:tc>
          <w:tcPr>
            <w:tcW w:w="1051" w:type="dxa"/>
            <w:vMerge w:val="continue"/>
            <w:tcBorders>
              <w:top w:val="single" w:color="auto" w:sz="4" w:space="0"/>
              <w:left w:val="single" w:color="auto" w:sz="4" w:space="0"/>
              <w:bottom w:val="single" w:color="auto" w:sz="4" w:space="0"/>
              <w:right w:val="single" w:color="auto" w:sz="4" w:space="0"/>
            </w:tcBorders>
            <w:shd w:val="clear" w:color="auto" w:fill="FFFFFF"/>
            <w:vAlign w:val="center"/>
          </w:tcPr>
          <w:p w14:paraId="63D2CAD5">
            <w:pPr>
              <w:keepNext w:val="0"/>
              <w:keepLines w:val="0"/>
              <w:widowControl/>
              <w:suppressLineNumbers w:val="0"/>
              <w:jc w:val="center"/>
              <w:textAlignment w:val="center"/>
              <w:rPr>
                <w:rFonts w:hint="eastAsia" w:ascii="宋体" w:hAnsi="宋体" w:eastAsia="宋体" w:cs="宋体"/>
                <w:kern w:val="2"/>
                <w:sz w:val="24"/>
                <w:szCs w:val="24"/>
                <w:lang w:val="en-US" w:eastAsia="zh-CN" w:bidi="ar-SA"/>
              </w:rPr>
            </w:pPr>
          </w:p>
        </w:tc>
        <w:tc>
          <w:tcPr>
            <w:tcW w:w="976" w:type="dxa"/>
            <w:vMerge w:val="continue"/>
            <w:tcBorders>
              <w:top w:val="single" w:color="auto" w:sz="4" w:space="0"/>
              <w:left w:val="single" w:color="auto" w:sz="4" w:space="0"/>
              <w:bottom w:val="single" w:color="auto" w:sz="4" w:space="0"/>
              <w:right w:val="single" w:color="auto" w:sz="4" w:space="0"/>
            </w:tcBorders>
            <w:shd w:val="clear" w:color="auto" w:fill="FFFFFF"/>
            <w:vAlign w:val="center"/>
          </w:tcPr>
          <w:p w14:paraId="0B35ABE5">
            <w:pPr>
              <w:keepNext w:val="0"/>
              <w:keepLines w:val="0"/>
              <w:widowControl/>
              <w:suppressLineNumbers w:val="0"/>
              <w:jc w:val="center"/>
              <w:textAlignment w:val="center"/>
              <w:rPr>
                <w:rFonts w:hint="default" w:ascii="宋体" w:hAnsi="宋体" w:eastAsia="宋体" w:cs="宋体"/>
                <w:kern w:val="2"/>
                <w:sz w:val="24"/>
                <w:szCs w:val="24"/>
                <w:lang w:val="en-US" w:eastAsia="zh-CN" w:bidi="ar-SA"/>
              </w:rPr>
            </w:pPr>
          </w:p>
        </w:tc>
        <w:tc>
          <w:tcPr>
            <w:tcW w:w="832" w:type="dxa"/>
            <w:tcBorders>
              <w:top w:val="single" w:color="auto" w:sz="4" w:space="0"/>
              <w:left w:val="single" w:color="auto" w:sz="4" w:space="0"/>
              <w:bottom w:val="single" w:color="auto" w:sz="4" w:space="0"/>
              <w:right w:val="single" w:color="auto" w:sz="4" w:space="0"/>
            </w:tcBorders>
            <w:shd w:val="clear" w:color="auto" w:fill="FFFFFF"/>
            <w:vAlign w:val="center"/>
          </w:tcPr>
          <w:p w14:paraId="2B99BB8A">
            <w:pPr>
              <w:keepNext w:val="0"/>
              <w:keepLines w:val="0"/>
              <w:widowControl/>
              <w:suppressLineNumbers w:val="0"/>
              <w:jc w:val="center"/>
              <w:textAlignment w:val="center"/>
              <w:rPr>
                <w:rFonts w:hint="eastAsia" w:ascii="宋体" w:hAnsi="宋体" w:eastAsia="宋体" w:cs="宋体"/>
                <w:kern w:val="2"/>
                <w:sz w:val="24"/>
                <w:szCs w:val="24"/>
                <w:lang w:val="en-US" w:eastAsia="zh-CN" w:bidi="ar-SA"/>
              </w:rPr>
            </w:pPr>
            <w:r>
              <w:rPr>
                <w:rFonts w:hint="eastAsia" w:ascii="宋体" w:hAnsi="宋体" w:eastAsia="宋体" w:cs="宋体"/>
                <w:kern w:val="2"/>
                <w:sz w:val="24"/>
                <w:szCs w:val="24"/>
                <w:lang w:val="en-US" w:eastAsia="zh-CN" w:bidi="ar-SA"/>
              </w:rPr>
              <w:t>测试与交付能力</w:t>
            </w:r>
          </w:p>
        </w:tc>
        <w:tc>
          <w:tcPr>
            <w:tcW w:w="4339" w:type="dxa"/>
            <w:tcBorders>
              <w:top w:val="single" w:color="auto" w:sz="4" w:space="0"/>
              <w:left w:val="single" w:color="auto" w:sz="4" w:space="0"/>
              <w:bottom w:val="single" w:color="auto" w:sz="4" w:space="0"/>
              <w:right w:val="single" w:color="auto" w:sz="4" w:space="0"/>
            </w:tcBorders>
            <w:shd w:val="clear" w:color="auto" w:fill="FFFFFF"/>
            <w:vAlign w:val="center"/>
          </w:tcPr>
          <w:p w14:paraId="4A7EA068">
            <w:pPr>
              <w:keepNext w:val="0"/>
              <w:keepLines w:val="0"/>
              <w:widowControl/>
              <w:suppressLineNumbers w:val="0"/>
              <w:jc w:val="left"/>
              <w:textAlignment w:val="center"/>
              <w:rPr>
                <w:rFonts w:hint="eastAsia" w:ascii="宋体" w:hAnsi="宋体" w:eastAsia="宋体" w:cs="宋体"/>
                <w:kern w:val="2"/>
                <w:sz w:val="24"/>
                <w:szCs w:val="24"/>
                <w:lang w:val="en-US" w:eastAsia="zh-CN" w:bidi="ar-SA"/>
              </w:rPr>
            </w:pPr>
            <w:r>
              <w:rPr>
                <w:rFonts w:hint="eastAsia" w:ascii="宋体" w:hAnsi="宋体" w:eastAsia="宋体" w:cs="宋体"/>
                <w:kern w:val="2"/>
                <w:sz w:val="24"/>
                <w:szCs w:val="24"/>
                <w:lang w:val="en-US" w:eastAsia="zh-CN" w:bidi="ar-SA"/>
              </w:rPr>
              <w:t>承诺维修后必须进行检测试运行，并能提供详细的出厂测试报告（含绝缘、电阻、空载电流等数据）者得10分；</w:t>
            </w:r>
            <w:r>
              <w:rPr>
                <w:rFonts w:hint="eastAsia" w:ascii="宋体" w:hAnsi="宋体" w:eastAsia="宋体" w:cs="宋体"/>
                <w:kern w:val="2"/>
                <w:sz w:val="24"/>
                <w:szCs w:val="24"/>
                <w:lang w:val="en-US" w:eastAsia="zh-CN" w:bidi="ar-SA"/>
              </w:rPr>
              <w:br w:type="textWrapping"/>
            </w:r>
            <w:r>
              <w:rPr>
                <w:rFonts w:hint="eastAsia" w:ascii="宋体" w:hAnsi="宋体" w:eastAsia="宋体" w:cs="宋体"/>
                <w:kern w:val="2"/>
                <w:sz w:val="24"/>
                <w:szCs w:val="24"/>
                <w:lang w:val="en-US" w:eastAsia="zh-CN" w:bidi="ar-SA"/>
              </w:rPr>
              <w:t>仅口头承诺试运行无报告者得5分。</w:t>
            </w:r>
          </w:p>
        </w:tc>
        <w:tc>
          <w:tcPr>
            <w:tcW w:w="744" w:type="dxa"/>
            <w:tcBorders>
              <w:top w:val="single" w:color="auto" w:sz="4" w:space="0"/>
              <w:left w:val="single" w:color="auto" w:sz="4" w:space="0"/>
              <w:bottom w:val="single" w:color="auto" w:sz="4" w:space="0"/>
              <w:right w:val="single" w:color="auto" w:sz="4" w:space="0"/>
            </w:tcBorders>
            <w:shd w:val="clear" w:color="auto" w:fill="FFFFFF"/>
            <w:vAlign w:val="center"/>
          </w:tcPr>
          <w:p w14:paraId="6513F65F">
            <w:pPr>
              <w:keepNext w:val="0"/>
              <w:keepLines w:val="0"/>
              <w:widowControl/>
              <w:suppressLineNumbers w:val="0"/>
              <w:jc w:val="center"/>
              <w:textAlignment w:val="center"/>
              <w:rPr>
                <w:rFonts w:hint="default" w:ascii="宋体" w:hAnsi="宋体" w:eastAsia="宋体" w:cs="宋体"/>
                <w:kern w:val="2"/>
                <w:sz w:val="24"/>
                <w:szCs w:val="24"/>
                <w:lang w:val="en-US" w:eastAsia="zh-CN" w:bidi="ar-SA"/>
              </w:rPr>
            </w:pPr>
            <w:r>
              <w:rPr>
                <w:rFonts w:hint="default" w:ascii="Segoe UI" w:hAnsi="Segoe UI" w:eastAsia="Segoe UI" w:cs="Segoe UI"/>
                <w:i w:val="0"/>
                <w:iCs w:val="0"/>
                <w:color w:val="0F1115"/>
                <w:kern w:val="0"/>
                <w:sz w:val="22"/>
                <w:szCs w:val="22"/>
                <w:u w:val="none"/>
                <w:lang w:val="en-US" w:eastAsia="zh-CN" w:bidi="ar"/>
              </w:rPr>
              <w:t>10</w:t>
            </w:r>
          </w:p>
        </w:tc>
        <w:tc>
          <w:tcPr>
            <w:tcW w:w="744" w:type="dxa"/>
            <w:tcBorders>
              <w:top w:val="single" w:color="auto" w:sz="4" w:space="0"/>
              <w:left w:val="single" w:color="auto" w:sz="4" w:space="0"/>
              <w:bottom w:val="single" w:color="auto" w:sz="4" w:space="0"/>
              <w:right w:val="single" w:color="auto" w:sz="4" w:space="0"/>
            </w:tcBorders>
            <w:shd w:val="clear" w:color="auto" w:fill="FFFFFF"/>
            <w:vAlign w:val="center"/>
          </w:tcPr>
          <w:p w14:paraId="7E2D586E">
            <w:pPr>
              <w:keepNext w:val="0"/>
              <w:keepLines w:val="0"/>
              <w:widowControl/>
              <w:suppressLineNumbers w:val="0"/>
              <w:jc w:val="center"/>
              <w:textAlignment w:val="center"/>
              <w:rPr>
                <w:rFonts w:hint="default" w:ascii="宋体" w:hAnsi="宋体" w:eastAsia="宋体" w:cs="宋体"/>
                <w:kern w:val="2"/>
                <w:sz w:val="24"/>
                <w:szCs w:val="24"/>
                <w:lang w:val="en-US" w:eastAsia="zh-CN" w:bidi="ar-SA"/>
              </w:rPr>
            </w:pPr>
          </w:p>
        </w:tc>
      </w:tr>
      <w:tr w14:paraId="12D8907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040" w:hRule="atLeast"/>
        </w:trPr>
        <w:tc>
          <w:tcPr>
            <w:tcW w:w="584" w:type="dxa"/>
            <w:vMerge w:val="restart"/>
            <w:tcBorders>
              <w:top w:val="single" w:color="auto" w:sz="4" w:space="0"/>
              <w:left w:val="single" w:color="auto" w:sz="4" w:space="0"/>
              <w:bottom w:val="single" w:color="auto" w:sz="4" w:space="0"/>
              <w:right w:val="single" w:color="auto" w:sz="4" w:space="0"/>
            </w:tcBorders>
            <w:shd w:val="clear" w:color="auto" w:fill="FFFFFF"/>
            <w:vAlign w:val="center"/>
          </w:tcPr>
          <w:p w14:paraId="25135D3B">
            <w:pPr>
              <w:keepNext w:val="0"/>
              <w:keepLines w:val="0"/>
              <w:widowControl/>
              <w:suppressLineNumbers w:val="0"/>
              <w:jc w:val="center"/>
              <w:textAlignment w:val="center"/>
              <w:rPr>
                <w:rFonts w:hint="eastAsia" w:ascii="宋体" w:hAnsi="宋体" w:eastAsia="宋体" w:cs="宋体"/>
                <w:kern w:val="2"/>
                <w:sz w:val="24"/>
                <w:szCs w:val="24"/>
                <w:lang w:val="en-US" w:eastAsia="zh-CN" w:bidi="ar-SA"/>
              </w:rPr>
            </w:pPr>
            <w:r>
              <w:rPr>
                <w:rFonts w:hint="eastAsia" w:ascii="宋体" w:hAnsi="宋体" w:eastAsia="宋体" w:cs="宋体"/>
                <w:kern w:val="2"/>
                <w:sz w:val="24"/>
                <w:szCs w:val="24"/>
                <w:lang w:val="en-US" w:eastAsia="zh-CN" w:bidi="ar-SA"/>
              </w:rPr>
              <w:t>2</w:t>
            </w:r>
          </w:p>
        </w:tc>
        <w:tc>
          <w:tcPr>
            <w:tcW w:w="1051" w:type="dxa"/>
            <w:vMerge w:val="restart"/>
            <w:tcBorders>
              <w:top w:val="single" w:color="auto" w:sz="4" w:space="0"/>
              <w:left w:val="single" w:color="auto" w:sz="4" w:space="0"/>
              <w:bottom w:val="single" w:color="auto" w:sz="4" w:space="0"/>
              <w:right w:val="single" w:color="auto" w:sz="4" w:space="0"/>
            </w:tcBorders>
            <w:shd w:val="clear" w:color="auto" w:fill="FFFFFF"/>
            <w:vAlign w:val="center"/>
          </w:tcPr>
          <w:p w14:paraId="12AFA0D1">
            <w:pPr>
              <w:keepNext w:val="0"/>
              <w:keepLines w:val="0"/>
              <w:widowControl/>
              <w:suppressLineNumbers w:val="0"/>
              <w:jc w:val="center"/>
              <w:textAlignment w:val="center"/>
              <w:rPr>
                <w:rFonts w:hint="eastAsia" w:ascii="宋体" w:hAnsi="宋体" w:eastAsia="宋体" w:cs="宋体"/>
                <w:kern w:val="2"/>
                <w:sz w:val="24"/>
                <w:szCs w:val="24"/>
                <w:lang w:val="en-US" w:eastAsia="zh-CN" w:bidi="ar-SA"/>
              </w:rPr>
            </w:pPr>
            <w:r>
              <w:rPr>
                <w:rFonts w:hint="eastAsia" w:ascii="宋体" w:hAnsi="宋体" w:eastAsia="宋体" w:cs="宋体"/>
                <w:kern w:val="2"/>
                <w:sz w:val="24"/>
                <w:szCs w:val="24"/>
                <w:lang w:val="en-US" w:eastAsia="zh-CN" w:bidi="ar-SA"/>
              </w:rPr>
              <w:t>质量保证与验收</w:t>
            </w:r>
          </w:p>
        </w:tc>
        <w:tc>
          <w:tcPr>
            <w:tcW w:w="976" w:type="dxa"/>
            <w:vMerge w:val="restart"/>
            <w:tcBorders>
              <w:top w:val="single" w:color="auto" w:sz="4" w:space="0"/>
              <w:left w:val="single" w:color="auto" w:sz="4" w:space="0"/>
              <w:bottom w:val="single" w:color="auto" w:sz="4" w:space="0"/>
              <w:right w:val="single" w:color="auto" w:sz="4" w:space="0"/>
            </w:tcBorders>
            <w:shd w:val="clear" w:color="auto" w:fill="FFFFFF"/>
            <w:vAlign w:val="center"/>
          </w:tcPr>
          <w:p w14:paraId="62F48C69">
            <w:pPr>
              <w:keepNext w:val="0"/>
              <w:keepLines w:val="0"/>
              <w:widowControl/>
              <w:suppressLineNumbers w:val="0"/>
              <w:jc w:val="center"/>
              <w:textAlignment w:val="center"/>
              <w:rPr>
                <w:rFonts w:hint="default" w:ascii="宋体" w:hAnsi="宋体" w:eastAsia="宋体" w:cs="宋体"/>
                <w:kern w:val="2"/>
                <w:sz w:val="24"/>
                <w:szCs w:val="24"/>
                <w:lang w:val="en-US" w:eastAsia="zh-CN" w:bidi="ar-SA"/>
              </w:rPr>
            </w:pPr>
            <w:r>
              <w:rPr>
                <w:rFonts w:hint="eastAsia" w:ascii="宋体" w:hAnsi="宋体" w:cs="宋体"/>
                <w:kern w:val="2"/>
                <w:sz w:val="24"/>
                <w:szCs w:val="24"/>
                <w:lang w:val="en-US" w:eastAsia="zh-CN" w:bidi="ar-SA"/>
              </w:rPr>
              <w:t>40</w:t>
            </w:r>
            <w:r>
              <w:rPr>
                <w:rFonts w:hint="default" w:ascii="宋体" w:hAnsi="宋体" w:eastAsia="宋体" w:cs="宋体"/>
                <w:kern w:val="2"/>
                <w:sz w:val="24"/>
                <w:szCs w:val="24"/>
                <w:lang w:val="en-US" w:eastAsia="zh-CN" w:bidi="ar-SA"/>
              </w:rPr>
              <w:t>%</w:t>
            </w:r>
          </w:p>
        </w:tc>
        <w:tc>
          <w:tcPr>
            <w:tcW w:w="832" w:type="dxa"/>
            <w:vMerge w:val="restart"/>
            <w:tcBorders>
              <w:top w:val="single" w:color="auto" w:sz="4" w:space="0"/>
              <w:left w:val="single" w:color="auto" w:sz="4" w:space="0"/>
              <w:bottom w:val="single" w:color="auto" w:sz="4" w:space="0"/>
              <w:right w:val="single" w:color="auto" w:sz="4" w:space="0"/>
            </w:tcBorders>
            <w:shd w:val="clear" w:color="auto" w:fill="FFFFFF"/>
            <w:vAlign w:val="center"/>
          </w:tcPr>
          <w:p w14:paraId="0E744628">
            <w:pPr>
              <w:keepNext w:val="0"/>
              <w:keepLines w:val="0"/>
              <w:widowControl/>
              <w:suppressLineNumbers w:val="0"/>
              <w:jc w:val="center"/>
              <w:textAlignment w:val="center"/>
              <w:rPr>
                <w:rFonts w:hint="eastAsia" w:ascii="宋体" w:hAnsi="宋体" w:eastAsia="宋体" w:cs="宋体"/>
                <w:kern w:val="2"/>
                <w:sz w:val="24"/>
                <w:szCs w:val="24"/>
                <w:lang w:val="en-US" w:eastAsia="zh-CN" w:bidi="ar-SA"/>
              </w:rPr>
            </w:pPr>
            <w:r>
              <w:rPr>
                <w:rFonts w:hint="eastAsia" w:ascii="宋体" w:hAnsi="宋体" w:eastAsia="宋体" w:cs="宋体"/>
                <w:kern w:val="2"/>
                <w:sz w:val="24"/>
                <w:szCs w:val="24"/>
                <w:lang w:val="en-US" w:eastAsia="zh-CN" w:bidi="ar-SA"/>
              </w:rPr>
              <w:t>质量保证期</w:t>
            </w:r>
          </w:p>
        </w:tc>
        <w:tc>
          <w:tcPr>
            <w:tcW w:w="4339" w:type="dxa"/>
            <w:tcBorders>
              <w:top w:val="single" w:color="auto" w:sz="4" w:space="0"/>
              <w:left w:val="single" w:color="auto" w:sz="4" w:space="0"/>
              <w:bottom w:val="single" w:color="auto" w:sz="4" w:space="0"/>
              <w:right w:val="single" w:color="auto" w:sz="4" w:space="0"/>
            </w:tcBorders>
            <w:shd w:val="clear" w:color="auto" w:fill="FFFFFF"/>
            <w:vAlign w:val="center"/>
          </w:tcPr>
          <w:p w14:paraId="36A8B106">
            <w:pPr>
              <w:keepNext w:val="0"/>
              <w:keepLines w:val="0"/>
              <w:widowControl/>
              <w:suppressLineNumbers w:val="0"/>
              <w:jc w:val="left"/>
              <w:textAlignment w:val="center"/>
              <w:rPr>
                <w:rFonts w:hint="eastAsia" w:ascii="宋体" w:hAnsi="宋体" w:eastAsia="宋体" w:cs="宋体"/>
                <w:kern w:val="2"/>
                <w:sz w:val="24"/>
                <w:szCs w:val="24"/>
                <w:lang w:val="en-US" w:eastAsia="zh-CN" w:bidi="ar-SA"/>
              </w:rPr>
            </w:pPr>
            <w:r>
              <w:rPr>
                <w:rFonts w:hint="eastAsia" w:ascii="宋体" w:hAnsi="宋体" w:eastAsia="宋体" w:cs="宋体"/>
                <w:kern w:val="2"/>
                <w:sz w:val="24"/>
                <w:szCs w:val="24"/>
                <w:lang w:val="en-US" w:eastAsia="zh-CN" w:bidi="ar-SA"/>
              </w:rPr>
              <w:t>完全满足“最终验收后3个月”质保期要求，并接受“维修后重新计算质保期”条款者得5-8分；</w:t>
            </w:r>
            <w:r>
              <w:rPr>
                <w:rFonts w:hint="eastAsia" w:ascii="宋体" w:hAnsi="宋体" w:eastAsia="宋体" w:cs="宋体"/>
                <w:kern w:val="2"/>
                <w:sz w:val="24"/>
                <w:szCs w:val="24"/>
                <w:lang w:val="en-US" w:eastAsia="zh-CN" w:bidi="ar-SA"/>
              </w:rPr>
              <w:br w:type="textWrapping"/>
            </w:r>
            <w:r>
              <w:rPr>
                <w:rFonts w:hint="eastAsia" w:ascii="宋体" w:hAnsi="宋体" w:eastAsia="宋体" w:cs="宋体"/>
                <w:kern w:val="2"/>
                <w:sz w:val="24"/>
                <w:szCs w:val="24"/>
                <w:lang w:val="en-US" w:eastAsia="zh-CN" w:bidi="ar-SA"/>
              </w:rPr>
              <w:t>不满足者得0-4分。</w:t>
            </w:r>
          </w:p>
        </w:tc>
        <w:tc>
          <w:tcPr>
            <w:tcW w:w="744" w:type="dxa"/>
            <w:tcBorders>
              <w:top w:val="single" w:color="auto" w:sz="4" w:space="0"/>
              <w:left w:val="single" w:color="auto" w:sz="4" w:space="0"/>
              <w:bottom w:val="single" w:color="auto" w:sz="4" w:space="0"/>
              <w:right w:val="single" w:color="auto" w:sz="4" w:space="0"/>
            </w:tcBorders>
            <w:shd w:val="clear" w:color="auto" w:fill="FFFFFF"/>
            <w:vAlign w:val="center"/>
          </w:tcPr>
          <w:p w14:paraId="612F0B61">
            <w:pPr>
              <w:keepNext w:val="0"/>
              <w:keepLines w:val="0"/>
              <w:widowControl/>
              <w:suppressLineNumbers w:val="0"/>
              <w:jc w:val="center"/>
              <w:textAlignment w:val="center"/>
              <w:rPr>
                <w:rFonts w:hint="default" w:ascii="宋体" w:hAnsi="宋体" w:eastAsia="宋体" w:cs="宋体"/>
                <w:kern w:val="2"/>
                <w:sz w:val="24"/>
                <w:szCs w:val="24"/>
                <w:lang w:val="en-US" w:eastAsia="zh-CN" w:bidi="ar-SA"/>
              </w:rPr>
            </w:pPr>
            <w:r>
              <w:rPr>
                <w:rFonts w:hint="default" w:ascii="Segoe UI" w:hAnsi="Segoe UI" w:eastAsia="Segoe UI" w:cs="Segoe UI"/>
                <w:i w:val="0"/>
                <w:iCs w:val="0"/>
                <w:color w:val="0F1115"/>
                <w:kern w:val="0"/>
                <w:sz w:val="22"/>
                <w:szCs w:val="22"/>
                <w:u w:val="none"/>
                <w:lang w:val="en-US" w:eastAsia="zh-CN" w:bidi="ar"/>
              </w:rPr>
              <w:t>8</w:t>
            </w:r>
          </w:p>
        </w:tc>
        <w:tc>
          <w:tcPr>
            <w:tcW w:w="744" w:type="dxa"/>
            <w:vMerge w:val="restart"/>
            <w:tcBorders>
              <w:top w:val="single" w:color="auto" w:sz="4" w:space="0"/>
              <w:left w:val="single" w:color="auto" w:sz="4" w:space="0"/>
              <w:bottom w:val="single" w:color="auto" w:sz="4" w:space="0"/>
              <w:right w:val="single" w:color="auto" w:sz="4" w:space="0"/>
            </w:tcBorders>
            <w:shd w:val="clear" w:color="auto" w:fill="FFFFFF"/>
            <w:vAlign w:val="center"/>
          </w:tcPr>
          <w:p w14:paraId="6EED5A6C">
            <w:pPr>
              <w:keepNext w:val="0"/>
              <w:keepLines w:val="0"/>
              <w:widowControl/>
              <w:suppressLineNumbers w:val="0"/>
              <w:jc w:val="center"/>
              <w:textAlignment w:val="center"/>
              <w:rPr>
                <w:rFonts w:hint="default" w:ascii="宋体" w:hAnsi="宋体" w:eastAsia="宋体" w:cs="宋体"/>
                <w:kern w:val="2"/>
                <w:sz w:val="24"/>
                <w:szCs w:val="24"/>
                <w:lang w:val="en-US" w:eastAsia="zh-CN" w:bidi="ar-SA"/>
              </w:rPr>
            </w:pPr>
          </w:p>
        </w:tc>
      </w:tr>
      <w:tr w14:paraId="442CFF4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040" w:hRule="atLeast"/>
        </w:trPr>
        <w:tc>
          <w:tcPr>
            <w:tcW w:w="584" w:type="dxa"/>
            <w:vMerge w:val="continue"/>
            <w:tcBorders>
              <w:top w:val="single" w:color="auto" w:sz="4" w:space="0"/>
              <w:left w:val="single" w:color="auto" w:sz="4" w:space="0"/>
              <w:bottom w:val="single" w:color="auto" w:sz="4" w:space="0"/>
              <w:right w:val="single" w:color="auto" w:sz="4" w:space="0"/>
            </w:tcBorders>
            <w:shd w:val="clear" w:color="auto" w:fill="FFFFFF"/>
            <w:vAlign w:val="center"/>
          </w:tcPr>
          <w:p w14:paraId="64A19DA1">
            <w:pPr>
              <w:keepNext w:val="0"/>
              <w:keepLines w:val="0"/>
              <w:widowControl/>
              <w:suppressLineNumbers w:val="0"/>
              <w:jc w:val="center"/>
              <w:textAlignment w:val="center"/>
              <w:rPr>
                <w:rFonts w:hint="eastAsia" w:ascii="宋体" w:hAnsi="宋体" w:eastAsia="宋体" w:cs="宋体"/>
                <w:kern w:val="2"/>
                <w:sz w:val="24"/>
                <w:szCs w:val="24"/>
                <w:lang w:val="en-US" w:eastAsia="zh-CN" w:bidi="ar-SA"/>
              </w:rPr>
            </w:pPr>
          </w:p>
        </w:tc>
        <w:tc>
          <w:tcPr>
            <w:tcW w:w="1051" w:type="dxa"/>
            <w:vMerge w:val="continue"/>
            <w:tcBorders>
              <w:top w:val="single" w:color="auto" w:sz="4" w:space="0"/>
              <w:left w:val="single" w:color="auto" w:sz="4" w:space="0"/>
              <w:bottom w:val="single" w:color="auto" w:sz="4" w:space="0"/>
              <w:right w:val="single" w:color="auto" w:sz="4" w:space="0"/>
            </w:tcBorders>
            <w:shd w:val="clear" w:color="auto" w:fill="FFFFFF"/>
            <w:vAlign w:val="center"/>
          </w:tcPr>
          <w:p w14:paraId="506D817B">
            <w:pPr>
              <w:keepNext w:val="0"/>
              <w:keepLines w:val="0"/>
              <w:widowControl/>
              <w:suppressLineNumbers w:val="0"/>
              <w:jc w:val="center"/>
              <w:textAlignment w:val="center"/>
              <w:rPr>
                <w:rFonts w:hint="eastAsia" w:ascii="宋体" w:hAnsi="宋体" w:eastAsia="宋体" w:cs="宋体"/>
                <w:kern w:val="2"/>
                <w:sz w:val="24"/>
                <w:szCs w:val="24"/>
                <w:lang w:val="en-US" w:eastAsia="zh-CN" w:bidi="ar-SA"/>
              </w:rPr>
            </w:pPr>
          </w:p>
        </w:tc>
        <w:tc>
          <w:tcPr>
            <w:tcW w:w="976" w:type="dxa"/>
            <w:vMerge w:val="continue"/>
            <w:tcBorders>
              <w:top w:val="single" w:color="auto" w:sz="4" w:space="0"/>
              <w:left w:val="single" w:color="auto" w:sz="4" w:space="0"/>
              <w:bottom w:val="single" w:color="auto" w:sz="4" w:space="0"/>
              <w:right w:val="single" w:color="auto" w:sz="4" w:space="0"/>
            </w:tcBorders>
            <w:shd w:val="clear" w:color="auto" w:fill="FFFFFF"/>
            <w:vAlign w:val="center"/>
          </w:tcPr>
          <w:p w14:paraId="69896B7C">
            <w:pPr>
              <w:keepNext w:val="0"/>
              <w:keepLines w:val="0"/>
              <w:widowControl/>
              <w:suppressLineNumbers w:val="0"/>
              <w:jc w:val="center"/>
              <w:textAlignment w:val="center"/>
              <w:rPr>
                <w:rFonts w:hint="default" w:ascii="宋体" w:hAnsi="宋体" w:eastAsia="宋体" w:cs="宋体"/>
                <w:kern w:val="2"/>
                <w:sz w:val="24"/>
                <w:szCs w:val="24"/>
                <w:lang w:val="en-US" w:eastAsia="zh-CN" w:bidi="ar-SA"/>
              </w:rPr>
            </w:pPr>
          </w:p>
        </w:tc>
        <w:tc>
          <w:tcPr>
            <w:tcW w:w="832" w:type="dxa"/>
            <w:vMerge w:val="continue"/>
            <w:tcBorders>
              <w:top w:val="single" w:color="auto" w:sz="4" w:space="0"/>
              <w:left w:val="single" w:color="auto" w:sz="4" w:space="0"/>
              <w:bottom w:val="single" w:color="auto" w:sz="4" w:space="0"/>
              <w:right w:val="single" w:color="auto" w:sz="4" w:space="0"/>
            </w:tcBorders>
            <w:shd w:val="clear" w:color="auto" w:fill="FFFFFF"/>
            <w:vAlign w:val="center"/>
          </w:tcPr>
          <w:p w14:paraId="1C9EFDA9">
            <w:pPr>
              <w:keepNext w:val="0"/>
              <w:keepLines w:val="0"/>
              <w:widowControl/>
              <w:suppressLineNumbers w:val="0"/>
              <w:jc w:val="center"/>
              <w:textAlignment w:val="center"/>
              <w:rPr>
                <w:rFonts w:hint="eastAsia" w:ascii="宋体" w:hAnsi="宋体" w:eastAsia="宋体" w:cs="宋体"/>
                <w:kern w:val="2"/>
                <w:sz w:val="24"/>
                <w:szCs w:val="24"/>
                <w:lang w:val="en-US" w:eastAsia="zh-CN" w:bidi="ar-SA"/>
              </w:rPr>
            </w:pPr>
          </w:p>
        </w:tc>
        <w:tc>
          <w:tcPr>
            <w:tcW w:w="4339" w:type="dxa"/>
            <w:tcBorders>
              <w:top w:val="single" w:color="auto" w:sz="4" w:space="0"/>
              <w:left w:val="single" w:color="auto" w:sz="4" w:space="0"/>
              <w:bottom w:val="single" w:color="auto" w:sz="4" w:space="0"/>
              <w:right w:val="single" w:color="auto" w:sz="4" w:space="0"/>
            </w:tcBorders>
            <w:shd w:val="clear" w:color="auto" w:fill="FFFFFF"/>
            <w:vAlign w:val="center"/>
          </w:tcPr>
          <w:p w14:paraId="24E78B49">
            <w:pPr>
              <w:keepNext w:val="0"/>
              <w:keepLines w:val="0"/>
              <w:widowControl/>
              <w:suppressLineNumbers w:val="0"/>
              <w:jc w:val="left"/>
              <w:textAlignment w:val="center"/>
              <w:rPr>
                <w:rFonts w:hint="eastAsia" w:ascii="宋体" w:hAnsi="宋体" w:eastAsia="宋体" w:cs="宋体"/>
                <w:kern w:val="2"/>
                <w:sz w:val="24"/>
                <w:szCs w:val="24"/>
                <w:lang w:val="en-US" w:eastAsia="zh-CN" w:bidi="ar-SA"/>
              </w:rPr>
            </w:pPr>
            <w:r>
              <w:rPr>
                <w:rFonts w:hint="eastAsia" w:ascii="宋体" w:hAnsi="宋体" w:eastAsia="宋体" w:cs="宋体"/>
                <w:kern w:val="2"/>
                <w:sz w:val="24"/>
                <w:szCs w:val="24"/>
                <w:lang w:val="en-US" w:eastAsia="zh-CN" w:bidi="ar-SA"/>
              </w:rPr>
              <w:t>完全响应“2小时内答复，24小时内到现场”的质量问题处理要求者得5-7分；</w:t>
            </w:r>
            <w:r>
              <w:rPr>
                <w:rFonts w:hint="eastAsia" w:ascii="宋体" w:hAnsi="宋体" w:eastAsia="宋体" w:cs="宋体"/>
                <w:kern w:val="2"/>
                <w:sz w:val="24"/>
                <w:szCs w:val="24"/>
                <w:lang w:val="en-US" w:eastAsia="zh-CN" w:bidi="ar-SA"/>
              </w:rPr>
              <w:br w:type="textWrapping"/>
            </w:r>
            <w:r>
              <w:rPr>
                <w:rFonts w:hint="eastAsia" w:ascii="宋体" w:hAnsi="宋体" w:eastAsia="宋体" w:cs="宋体"/>
                <w:kern w:val="2"/>
                <w:sz w:val="24"/>
                <w:szCs w:val="24"/>
                <w:lang w:val="en-US" w:eastAsia="zh-CN" w:bidi="ar-SA"/>
              </w:rPr>
              <w:t>不满足者得0-4分。</w:t>
            </w:r>
          </w:p>
        </w:tc>
        <w:tc>
          <w:tcPr>
            <w:tcW w:w="744" w:type="dxa"/>
            <w:tcBorders>
              <w:top w:val="single" w:color="auto" w:sz="4" w:space="0"/>
              <w:left w:val="single" w:color="auto" w:sz="4" w:space="0"/>
              <w:bottom w:val="single" w:color="auto" w:sz="4" w:space="0"/>
              <w:right w:val="single" w:color="auto" w:sz="4" w:space="0"/>
            </w:tcBorders>
            <w:shd w:val="clear" w:color="auto" w:fill="FFFFFF"/>
            <w:vAlign w:val="center"/>
          </w:tcPr>
          <w:p w14:paraId="43A16D15">
            <w:pPr>
              <w:keepNext w:val="0"/>
              <w:keepLines w:val="0"/>
              <w:widowControl/>
              <w:suppressLineNumbers w:val="0"/>
              <w:jc w:val="center"/>
              <w:textAlignment w:val="center"/>
              <w:rPr>
                <w:rFonts w:hint="default" w:ascii="宋体" w:hAnsi="宋体" w:eastAsia="宋体" w:cs="宋体"/>
                <w:kern w:val="2"/>
                <w:sz w:val="24"/>
                <w:szCs w:val="24"/>
                <w:lang w:val="en-US" w:eastAsia="zh-CN" w:bidi="ar-SA"/>
              </w:rPr>
            </w:pPr>
            <w:r>
              <w:rPr>
                <w:rFonts w:hint="default" w:ascii="Segoe UI" w:hAnsi="Segoe UI" w:eastAsia="Segoe UI" w:cs="Segoe UI"/>
                <w:i w:val="0"/>
                <w:iCs w:val="0"/>
                <w:color w:val="0F1115"/>
                <w:kern w:val="0"/>
                <w:sz w:val="22"/>
                <w:szCs w:val="22"/>
                <w:u w:val="none"/>
                <w:lang w:val="en-US" w:eastAsia="zh-CN" w:bidi="ar"/>
              </w:rPr>
              <w:t>7</w:t>
            </w:r>
          </w:p>
        </w:tc>
        <w:tc>
          <w:tcPr>
            <w:tcW w:w="744" w:type="dxa"/>
            <w:vMerge w:val="continue"/>
            <w:tcBorders>
              <w:top w:val="single" w:color="auto" w:sz="4" w:space="0"/>
              <w:left w:val="single" w:color="auto" w:sz="4" w:space="0"/>
              <w:bottom w:val="single" w:color="auto" w:sz="4" w:space="0"/>
              <w:right w:val="single" w:color="auto" w:sz="4" w:space="0"/>
            </w:tcBorders>
            <w:shd w:val="clear" w:color="auto" w:fill="FFFFFF"/>
            <w:vAlign w:val="center"/>
          </w:tcPr>
          <w:p w14:paraId="397AAD1C">
            <w:pPr>
              <w:keepNext w:val="0"/>
              <w:keepLines w:val="0"/>
              <w:widowControl/>
              <w:suppressLineNumbers w:val="0"/>
              <w:jc w:val="center"/>
              <w:textAlignment w:val="center"/>
              <w:rPr>
                <w:rFonts w:hint="default" w:ascii="宋体" w:hAnsi="宋体" w:eastAsia="宋体" w:cs="宋体"/>
                <w:kern w:val="2"/>
                <w:sz w:val="24"/>
                <w:szCs w:val="24"/>
                <w:lang w:val="en-US" w:eastAsia="zh-CN" w:bidi="ar-SA"/>
              </w:rPr>
            </w:pPr>
          </w:p>
        </w:tc>
      </w:tr>
      <w:tr w14:paraId="413F53A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040" w:hRule="atLeast"/>
        </w:trPr>
        <w:tc>
          <w:tcPr>
            <w:tcW w:w="584" w:type="dxa"/>
            <w:vMerge w:val="continue"/>
            <w:tcBorders>
              <w:top w:val="single" w:color="auto" w:sz="4" w:space="0"/>
              <w:left w:val="single" w:color="auto" w:sz="4" w:space="0"/>
              <w:bottom w:val="single" w:color="auto" w:sz="4" w:space="0"/>
              <w:right w:val="single" w:color="auto" w:sz="4" w:space="0"/>
            </w:tcBorders>
            <w:shd w:val="clear" w:color="auto" w:fill="FFFFFF"/>
            <w:vAlign w:val="center"/>
          </w:tcPr>
          <w:p w14:paraId="48B00692">
            <w:pPr>
              <w:keepNext w:val="0"/>
              <w:keepLines w:val="0"/>
              <w:widowControl/>
              <w:suppressLineNumbers w:val="0"/>
              <w:jc w:val="center"/>
              <w:textAlignment w:val="center"/>
              <w:rPr>
                <w:rFonts w:hint="eastAsia" w:ascii="宋体" w:hAnsi="宋体" w:eastAsia="宋体" w:cs="宋体"/>
                <w:kern w:val="2"/>
                <w:sz w:val="24"/>
                <w:szCs w:val="24"/>
                <w:lang w:val="en-US" w:eastAsia="zh-CN" w:bidi="ar-SA"/>
              </w:rPr>
            </w:pPr>
          </w:p>
        </w:tc>
        <w:tc>
          <w:tcPr>
            <w:tcW w:w="1051" w:type="dxa"/>
            <w:vMerge w:val="continue"/>
            <w:tcBorders>
              <w:top w:val="single" w:color="auto" w:sz="4" w:space="0"/>
              <w:left w:val="single" w:color="auto" w:sz="4" w:space="0"/>
              <w:bottom w:val="single" w:color="auto" w:sz="4" w:space="0"/>
              <w:right w:val="single" w:color="auto" w:sz="4" w:space="0"/>
            </w:tcBorders>
            <w:shd w:val="clear" w:color="auto" w:fill="FFFFFF"/>
            <w:vAlign w:val="center"/>
          </w:tcPr>
          <w:p w14:paraId="59571E39">
            <w:pPr>
              <w:keepNext w:val="0"/>
              <w:keepLines w:val="0"/>
              <w:widowControl/>
              <w:suppressLineNumbers w:val="0"/>
              <w:jc w:val="center"/>
              <w:textAlignment w:val="center"/>
              <w:rPr>
                <w:rFonts w:hint="eastAsia" w:ascii="宋体" w:hAnsi="宋体" w:eastAsia="宋体" w:cs="宋体"/>
                <w:kern w:val="2"/>
                <w:sz w:val="24"/>
                <w:szCs w:val="24"/>
                <w:lang w:val="en-US" w:eastAsia="zh-CN" w:bidi="ar-SA"/>
              </w:rPr>
            </w:pPr>
          </w:p>
        </w:tc>
        <w:tc>
          <w:tcPr>
            <w:tcW w:w="976" w:type="dxa"/>
            <w:vMerge w:val="continue"/>
            <w:tcBorders>
              <w:top w:val="single" w:color="auto" w:sz="4" w:space="0"/>
              <w:left w:val="single" w:color="auto" w:sz="4" w:space="0"/>
              <w:bottom w:val="single" w:color="auto" w:sz="4" w:space="0"/>
              <w:right w:val="single" w:color="auto" w:sz="4" w:space="0"/>
            </w:tcBorders>
            <w:shd w:val="clear" w:color="auto" w:fill="FFFFFF"/>
            <w:vAlign w:val="center"/>
          </w:tcPr>
          <w:p w14:paraId="395F2E46">
            <w:pPr>
              <w:keepNext w:val="0"/>
              <w:keepLines w:val="0"/>
              <w:widowControl/>
              <w:suppressLineNumbers w:val="0"/>
              <w:jc w:val="center"/>
              <w:textAlignment w:val="center"/>
              <w:rPr>
                <w:rFonts w:hint="default" w:ascii="宋体" w:hAnsi="宋体" w:eastAsia="宋体" w:cs="宋体"/>
                <w:kern w:val="2"/>
                <w:sz w:val="24"/>
                <w:szCs w:val="24"/>
                <w:lang w:val="en-US" w:eastAsia="zh-CN" w:bidi="ar-SA"/>
              </w:rPr>
            </w:pPr>
          </w:p>
        </w:tc>
        <w:tc>
          <w:tcPr>
            <w:tcW w:w="832" w:type="dxa"/>
            <w:tcBorders>
              <w:top w:val="single" w:color="auto" w:sz="4" w:space="0"/>
              <w:left w:val="single" w:color="auto" w:sz="4" w:space="0"/>
              <w:bottom w:val="single" w:color="auto" w:sz="4" w:space="0"/>
              <w:right w:val="single" w:color="auto" w:sz="4" w:space="0"/>
            </w:tcBorders>
            <w:shd w:val="clear" w:color="auto" w:fill="FFFFFF"/>
            <w:vAlign w:val="center"/>
          </w:tcPr>
          <w:p w14:paraId="353BB828">
            <w:pPr>
              <w:keepNext w:val="0"/>
              <w:keepLines w:val="0"/>
              <w:widowControl/>
              <w:suppressLineNumbers w:val="0"/>
              <w:jc w:val="center"/>
              <w:textAlignment w:val="center"/>
              <w:rPr>
                <w:rFonts w:hint="eastAsia" w:ascii="宋体" w:hAnsi="宋体" w:eastAsia="宋体" w:cs="宋体"/>
                <w:kern w:val="2"/>
                <w:sz w:val="24"/>
                <w:szCs w:val="24"/>
                <w:lang w:val="en-US" w:eastAsia="zh-CN" w:bidi="ar-SA"/>
              </w:rPr>
            </w:pPr>
            <w:r>
              <w:rPr>
                <w:rFonts w:hint="eastAsia" w:ascii="宋体" w:hAnsi="宋体" w:eastAsia="宋体" w:cs="宋体"/>
                <w:kern w:val="2"/>
                <w:sz w:val="24"/>
                <w:szCs w:val="24"/>
                <w:lang w:val="en-US" w:eastAsia="zh-CN" w:bidi="ar-SA"/>
              </w:rPr>
              <w:t>验收标准符合度</w:t>
            </w:r>
          </w:p>
        </w:tc>
        <w:tc>
          <w:tcPr>
            <w:tcW w:w="4339" w:type="dxa"/>
            <w:tcBorders>
              <w:top w:val="single" w:color="auto" w:sz="4" w:space="0"/>
              <w:left w:val="single" w:color="auto" w:sz="4" w:space="0"/>
              <w:bottom w:val="single" w:color="auto" w:sz="4" w:space="0"/>
              <w:right w:val="single" w:color="auto" w:sz="4" w:space="0"/>
            </w:tcBorders>
            <w:shd w:val="clear" w:color="auto" w:fill="FFFFFF"/>
            <w:vAlign w:val="center"/>
          </w:tcPr>
          <w:p w14:paraId="51E99E50">
            <w:pPr>
              <w:keepNext w:val="0"/>
              <w:keepLines w:val="0"/>
              <w:widowControl/>
              <w:suppressLineNumbers w:val="0"/>
              <w:jc w:val="left"/>
              <w:textAlignment w:val="center"/>
              <w:rPr>
                <w:rFonts w:hint="eastAsia" w:ascii="宋体" w:hAnsi="宋体" w:eastAsia="宋体" w:cs="宋体"/>
                <w:kern w:val="2"/>
                <w:sz w:val="24"/>
                <w:szCs w:val="24"/>
                <w:lang w:val="en-US" w:eastAsia="zh-CN" w:bidi="ar-SA"/>
              </w:rPr>
            </w:pPr>
            <w:r>
              <w:rPr>
                <w:rFonts w:hint="eastAsia" w:ascii="宋体" w:hAnsi="宋体" w:eastAsia="宋体" w:cs="宋体"/>
                <w:kern w:val="2"/>
                <w:sz w:val="24"/>
                <w:szCs w:val="24"/>
                <w:lang w:val="en-US" w:eastAsia="zh-CN" w:bidi="ar-SA"/>
              </w:rPr>
              <w:t>逐条承诺并完全理解所有验收标准（外观、绝缘、直流阻值、空载电流、运转等）要求，且具备相应的检测仪器和手段者得15分；</w:t>
            </w:r>
            <w:r>
              <w:rPr>
                <w:rFonts w:hint="eastAsia" w:ascii="宋体" w:hAnsi="宋体" w:eastAsia="宋体" w:cs="宋体"/>
                <w:kern w:val="2"/>
                <w:sz w:val="24"/>
                <w:szCs w:val="24"/>
                <w:lang w:val="en-US" w:eastAsia="zh-CN" w:bidi="ar-SA"/>
              </w:rPr>
              <w:br w:type="textWrapping"/>
            </w:r>
            <w:r>
              <w:rPr>
                <w:rFonts w:hint="eastAsia" w:ascii="宋体" w:hAnsi="宋体" w:eastAsia="宋体" w:cs="宋体"/>
                <w:kern w:val="2"/>
                <w:sz w:val="24"/>
                <w:szCs w:val="24"/>
                <w:lang w:val="en-US" w:eastAsia="zh-CN" w:bidi="ar-SA"/>
              </w:rPr>
              <w:t>基本理解但有部分疑问者得8-15分；</w:t>
            </w:r>
            <w:r>
              <w:rPr>
                <w:rFonts w:hint="eastAsia" w:ascii="宋体" w:hAnsi="宋体" w:eastAsia="宋体" w:cs="宋体"/>
                <w:kern w:val="2"/>
                <w:sz w:val="24"/>
                <w:szCs w:val="24"/>
                <w:lang w:val="en-US" w:eastAsia="zh-CN" w:bidi="ar-SA"/>
              </w:rPr>
              <w:br w:type="textWrapping"/>
            </w:r>
            <w:r>
              <w:rPr>
                <w:rFonts w:hint="eastAsia" w:ascii="宋体" w:hAnsi="宋体" w:eastAsia="宋体" w:cs="宋体"/>
                <w:kern w:val="2"/>
                <w:sz w:val="24"/>
                <w:szCs w:val="24"/>
                <w:lang w:val="en-US" w:eastAsia="zh-CN" w:bidi="ar-SA"/>
              </w:rPr>
              <w:t>对标准不理解或有偏离者得0分。</w:t>
            </w:r>
          </w:p>
        </w:tc>
        <w:tc>
          <w:tcPr>
            <w:tcW w:w="744" w:type="dxa"/>
            <w:tcBorders>
              <w:top w:val="single" w:color="auto" w:sz="4" w:space="0"/>
              <w:left w:val="single" w:color="auto" w:sz="4" w:space="0"/>
              <w:bottom w:val="single" w:color="auto" w:sz="4" w:space="0"/>
              <w:right w:val="single" w:color="auto" w:sz="4" w:space="0"/>
            </w:tcBorders>
            <w:shd w:val="clear" w:color="auto" w:fill="FFFFFF"/>
            <w:vAlign w:val="center"/>
          </w:tcPr>
          <w:p w14:paraId="3201E261">
            <w:pPr>
              <w:keepNext w:val="0"/>
              <w:keepLines w:val="0"/>
              <w:widowControl/>
              <w:suppressLineNumbers w:val="0"/>
              <w:jc w:val="center"/>
              <w:textAlignment w:val="center"/>
              <w:rPr>
                <w:rFonts w:hint="default" w:ascii="宋体" w:hAnsi="宋体" w:eastAsia="宋体" w:cs="宋体"/>
                <w:kern w:val="2"/>
                <w:sz w:val="24"/>
                <w:szCs w:val="24"/>
                <w:lang w:val="en-US" w:eastAsia="zh-CN" w:bidi="ar-SA"/>
              </w:rPr>
            </w:pPr>
            <w:r>
              <w:rPr>
                <w:rFonts w:hint="default" w:ascii="Segoe UI" w:hAnsi="Segoe UI" w:eastAsia="Segoe UI" w:cs="Segoe UI"/>
                <w:i w:val="0"/>
                <w:iCs w:val="0"/>
                <w:color w:val="0F1115"/>
                <w:kern w:val="0"/>
                <w:sz w:val="22"/>
                <w:szCs w:val="22"/>
                <w:u w:val="none"/>
                <w:lang w:val="en-US" w:eastAsia="zh-CN" w:bidi="ar"/>
              </w:rPr>
              <w:t>15</w:t>
            </w:r>
          </w:p>
        </w:tc>
        <w:tc>
          <w:tcPr>
            <w:tcW w:w="744" w:type="dxa"/>
            <w:tcBorders>
              <w:top w:val="single" w:color="auto" w:sz="4" w:space="0"/>
              <w:left w:val="single" w:color="auto" w:sz="4" w:space="0"/>
              <w:bottom w:val="single" w:color="auto" w:sz="4" w:space="0"/>
              <w:right w:val="single" w:color="auto" w:sz="4" w:space="0"/>
            </w:tcBorders>
            <w:shd w:val="clear" w:color="auto" w:fill="FFFFFF"/>
            <w:vAlign w:val="center"/>
          </w:tcPr>
          <w:p w14:paraId="1408B612">
            <w:pPr>
              <w:keepNext w:val="0"/>
              <w:keepLines w:val="0"/>
              <w:widowControl/>
              <w:suppressLineNumbers w:val="0"/>
              <w:jc w:val="center"/>
              <w:textAlignment w:val="center"/>
              <w:rPr>
                <w:rFonts w:hint="default" w:ascii="宋体" w:hAnsi="宋体" w:eastAsia="宋体" w:cs="宋体"/>
                <w:kern w:val="2"/>
                <w:sz w:val="24"/>
                <w:szCs w:val="24"/>
                <w:lang w:val="en-US" w:eastAsia="zh-CN" w:bidi="ar-SA"/>
              </w:rPr>
            </w:pPr>
          </w:p>
        </w:tc>
      </w:tr>
      <w:tr w14:paraId="005803E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040" w:hRule="atLeast"/>
        </w:trPr>
        <w:tc>
          <w:tcPr>
            <w:tcW w:w="584" w:type="dxa"/>
            <w:vMerge w:val="continue"/>
            <w:tcBorders>
              <w:top w:val="single" w:color="auto" w:sz="4" w:space="0"/>
              <w:left w:val="single" w:color="auto" w:sz="4" w:space="0"/>
              <w:bottom w:val="single" w:color="auto" w:sz="4" w:space="0"/>
              <w:right w:val="single" w:color="auto" w:sz="4" w:space="0"/>
            </w:tcBorders>
            <w:shd w:val="clear" w:color="auto" w:fill="FFFFFF"/>
            <w:vAlign w:val="center"/>
          </w:tcPr>
          <w:p w14:paraId="100B9236">
            <w:pPr>
              <w:keepNext w:val="0"/>
              <w:keepLines w:val="0"/>
              <w:widowControl/>
              <w:suppressLineNumbers w:val="0"/>
              <w:jc w:val="center"/>
              <w:textAlignment w:val="center"/>
              <w:rPr>
                <w:rFonts w:hint="eastAsia" w:ascii="宋体" w:hAnsi="宋体" w:eastAsia="宋体" w:cs="宋体"/>
                <w:kern w:val="2"/>
                <w:sz w:val="24"/>
                <w:szCs w:val="24"/>
                <w:lang w:val="en-US" w:eastAsia="zh-CN" w:bidi="ar-SA"/>
              </w:rPr>
            </w:pPr>
          </w:p>
        </w:tc>
        <w:tc>
          <w:tcPr>
            <w:tcW w:w="1051" w:type="dxa"/>
            <w:vMerge w:val="continue"/>
            <w:tcBorders>
              <w:top w:val="single" w:color="auto" w:sz="4" w:space="0"/>
              <w:left w:val="single" w:color="auto" w:sz="4" w:space="0"/>
              <w:bottom w:val="single" w:color="auto" w:sz="4" w:space="0"/>
              <w:right w:val="single" w:color="auto" w:sz="4" w:space="0"/>
            </w:tcBorders>
            <w:shd w:val="clear" w:color="auto" w:fill="FFFFFF"/>
            <w:vAlign w:val="center"/>
          </w:tcPr>
          <w:p w14:paraId="24514DCD">
            <w:pPr>
              <w:keepNext w:val="0"/>
              <w:keepLines w:val="0"/>
              <w:widowControl/>
              <w:suppressLineNumbers w:val="0"/>
              <w:jc w:val="center"/>
              <w:textAlignment w:val="center"/>
              <w:rPr>
                <w:rFonts w:hint="eastAsia" w:ascii="宋体" w:hAnsi="宋体" w:eastAsia="宋体" w:cs="宋体"/>
                <w:kern w:val="2"/>
                <w:sz w:val="24"/>
                <w:szCs w:val="24"/>
                <w:lang w:val="en-US" w:eastAsia="zh-CN" w:bidi="ar-SA"/>
              </w:rPr>
            </w:pPr>
          </w:p>
        </w:tc>
        <w:tc>
          <w:tcPr>
            <w:tcW w:w="976" w:type="dxa"/>
            <w:vMerge w:val="continue"/>
            <w:tcBorders>
              <w:top w:val="single" w:color="auto" w:sz="4" w:space="0"/>
              <w:left w:val="single" w:color="auto" w:sz="4" w:space="0"/>
              <w:bottom w:val="single" w:color="auto" w:sz="4" w:space="0"/>
              <w:right w:val="single" w:color="auto" w:sz="4" w:space="0"/>
            </w:tcBorders>
            <w:shd w:val="clear" w:color="auto" w:fill="FFFFFF"/>
            <w:vAlign w:val="center"/>
          </w:tcPr>
          <w:p w14:paraId="2FA5A3F0">
            <w:pPr>
              <w:keepNext w:val="0"/>
              <w:keepLines w:val="0"/>
              <w:widowControl/>
              <w:suppressLineNumbers w:val="0"/>
              <w:jc w:val="center"/>
              <w:textAlignment w:val="center"/>
              <w:rPr>
                <w:rFonts w:hint="default" w:ascii="宋体" w:hAnsi="宋体" w:eastAsia="宋体" w:cs="宋体"/>
                <w:kern w:val="2"/>
                <w:sz w:val="24"/>
                <w:szCs w:val="24"/>
                <w:lang w:val="en-US" w:eastAsia="zh-CN" w:bidi="ar-SA"/>
              </w:rPr>
            </w:pPr>
          </w:p>
        </w:tc>
        <w:tc>
          <w:tcPr>
            <w:tcW w:w="832" w:type="dxa"/>
            <w:tcBorders>
              <w:top w:val="single" w:color="auto" w:sz="4" w:space="0"/>
              <w:left w:val="single" w:color="auto" w:sz="4" w:space="0"/>
              <w:bottom w:val="single" w:color="auto" w:sz="4" w:space="0"/>
              <w:right w:val="single" w:color="auto" w:sz="4" w:space="0"/>
            </w:tcBorders>
            <w:shd w:val="clear" w:color="auto" w:fill="FFFFFF"/>
            <w:vAlign w:val="center"/>
          </w:tcPr>
          <w:p w14:paraId="569F6286">
            <w:pPr>
              <w:keepNext w:val="0"/>
              <w:keepLines w:val="0"/>
              <w:widowControl/>
              <w:suppressLineNumbers w:val="0"/>
              <w:jc w:val="center"/>
              <w:textAlignment w:val="center"/>
              <w:rPr>
                <w:rFonts w:hint="eastAsia" w:ascii="宋体" w:hAnsi="宋体" w:eastAsia="宋体" w:cs="宋体"/>
                <w:kern w:val="2"/>
                <w:sz w:val="24"/>
                <w:szCs w:val="24"/>
                <w:lang w:val="en-US" w:eastAsia="zh-CN" w:bidi="ar-SA"/>
              </w:rPr>
            </w:pPr>
            <w:r>
              <w:rPr>
                <w:rFonts w:hint="eastAsia" w:ascii="宋体" w:hAnsi="宋体" w:eastAsia="宋体" w:cs="宋体"/>
                <w:kern w:val="2"/>
                <w:sz w:val="24"/>
                <w:szCs w:val="24"/>
                <w:lang w:val="en-US" w:eastAsia="zh-CN" w:bidi="ar-SA"/>
              </w:rPr>
              <w:t>运输与包装保障</w:t>
            </w:r>
          </w:p>
        </w:tc>
        <w:tc>
          <w:tcPr>
            <w:tcW w:w="4339" w:type="dxa"/>
            <w:tcBorders>
              <w:top w:val="single" w:color="auto" w:sz="4" w:space="0"/>
              <w:left w:val="single" w:color="auto" w:sz="4" w:space="0"/>
              <w:bottom w:val="single" w:color="auto" w:sz="4" w:space="0"/>
              <w:right w:val="single" w:color="auto" w:sz="4" w:space="0"/>
            </w:tcBorders>
            <w:shd w:val="clear" w:color="auto" w:fill="FFFFFF"/>
            <w:vAlign w:val="center"/>
          </w:tcPr>
          <w:p w14:paraId="28860F56">
            <w:pPr>
              <w:keepNext w:val="0"/>
              <w:keepLines w:val="0"/>
              <w:widowControl/>
              <w:suppressLineNumbers w:val="0"/>
              <w:jc w:val="left"/>
              <w:textAlignment w:val="center"/>
              <w:rPr>
                <w:rFonts w:hint="eastAsia" w:ascii="宋体" w:hAnsi="宋体" w:eastAsia="宋体" w:cs="宋体"/>
                <w:kern w:val="2"/>
                <w:sz w:val="24"/>
                <w:szCs w:val="24"/>
                <w:lang w:val="en-US" w:eastAsia="zh-CN" w:bidi="ar-SA"/>
              </w:rPr>
            </w:pPr>
            <w:r>
              <w:rPr>
                <w:rFonts w:hint="eastAsia" w:ascii="宋体" w:hAnsi="宋体" w:eastAsia="宋体" w:cs="宋体"/>
                <w:kern w:val="2"/>
                <w:sz w:val="24"/>
                <w:szCs w:val="24"/>
                <w:lang w:val="en-US" w:eastAsia="zh-CN" w:bidi="ar-SA"/>
              </w:rPr>
              <w:t>承诺免费取送货，并有详细的包装方案防止运输损伤，接受“运输中损坏/丢失由乙方负责”条款者得6-10分；</w:t>
            </w:r>
            <w:r>
              <w:rPr>
                <w:rFonts w:hint="eastAsia" w:ascii="宋体" w:hAnsi="宋体" w:eastAsia="宋体" w:cs="宋体"/>
                <w:kern w:val="2"/>
                <w:sz w:val="24"/>
                <w:szCs w:val="24"/>
                <w:lang w:val="en-US" w:eastAsia="zh-CN" w:bidi="ar-SA"/>
              </w:rPr>
              <w:br w:type="textWrapping"/>
            </w:r>
            <w:r>
              <w:rPr>
                <w:rFonts w:hint="eastAsia" w:ascii="宋体" w:hAnsi="宋体" w:eastAsia="宋体" w:cs="宋体"/>
                <w:kern w:val="2"/>
                <w:sz w:val="24"/>
                <w:szCs w:val="24"/>
                <w:lang w:val="en-US" w:eastAsia="zh-CN" w:bidi="ar-SA"/>
              </w:rPr>
              <w:t>方案笼统者得2-5分。</w:t>
            </w:r>
          </w:p>
        </w:tc>
        <w:tc>
          <w:tcPr>
            <w:tcW w:w="744" w:type="dxa"/>
            <w:tcBorders>
              <w:top w:val="single" w:color="auto" w:sz="4" w:space="0"/>
              <w:left w:val="single" w:color="auto" w:sz="4" w:space="0"/>
              <w:bottom w:val="single" w:color="auto" w:sz="4" w:space="0"/>
              <w:right w:val="single" w:color="auto" w:sz="4" w:space="0"/>
            </w:tcBorders>
            <w:shd w:val="clear" w:color="auto" w:fill="FFFFFF"/>
            <w:vAlign w:val="center"/>
          </w:tcPr>
          <w:p w14:paraId="3637615B">
            <w:pPr>
              <w:keepNext w:val="0"/>
              <w:keepLines w:val="0"/>
              <w:widowControl/>
              <w:suppressLineNumbers w:val="0"/>
              <w:jc w:val="center"/>
              <w:textAlignment w:val="center"/>
              <w:rPr>
                <w:rFonts w:hint="default" w:ascii="宋体" w:hAnsi="宋体" w:eastAsia="宋体" w:cs="宋体"/>
                <w:kern w:val="2"/>
                <w:sz w:val="24"/>
                <w:szCs w:val="24"/>
                <w:lang w:val="en-US" w:eastAsia="zh-CN" w:bidi="ar-SA"/>
              </w:rPr>
            </w:pPr>
            <w:r>
              <w:rPr>
                <w:rFonts w:hint="default" w:ascii="Segoe UI" w:hAnsi="Segoe UI" w:eastAsia="Segoe UI" w:cs="Segoe UI"/>
                <w:i w:val="0"/>
                <w:iCs w:val="0"/>
                <w:color w:val="0F1115"/>
                <w:kern w:val="0"/>
                <w:sz w:val="22"/>
                <w:szCs w:val="22"/>
                <w:u w:val="none"/>
                <w:lang w:val="en-US" w:eastAsia="zh-CN" w:bidi="ar"/>
              </w:rPr>
              <w:t>10</w:t>
            </w:r>
          </w:p>
        </w:tc>
        <w:tc>
          <w:tcPr>
            <w:tcW w:w="744" w:type="dxa"/>
            <w:tcBorders>
              <w:top w:val="single" w:color="auto" w:sz="4" w:space="0"/>
              <w:left w:val="single" w:color="auto" w:sz="4" w:space="0"/>
              <w:bottom w:val="single" w:color="auto" w:sz="4" w:space="0"/>
              <w:right w:val="single" w:color="auto" w:sz="4" w:space="0"/>
            </w:tcBorders>
            <w:shd w:val="clear" w:color="auto" w:fill="FFFFFF"/>
            <w:vAlign w:val="center"/>
          </w:tcPr>
          <w:p w14:paraId="6435F016">
            <w:pPr>
              <w:keepNext w:val="0"/>
              <w:keepLines w:val="0"/>
              <w:widowControl/>
              <w:suppressLineNumbers w:val="0"/>
              <w:jc w:val="center"/>
              <w:textAlignment w:val="center"/>
              <w:rPr>
                <w:rFonts w:hint="default" w:ascii="宋体" w:hAnsi="宋体" w:eastAsia="宋体" w:cs="宋体"/>
                <w:kern w:val="2"/>
                <w:sz w:val="24"/>
                <w:szCs w:val="24"/>
                <w:lang w:val="en-US" w:eastAsia="zh-CN" w:bidi="ar-SA"/>
              </w:rPr>
            </w:pPr>
          </w:p>
        </w:tc>
      </w:tr>
      <w:tr w14:paraId="130C70F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040" w:hRule="atLeast"/>
        </w:trPr>
        <w:tc>
          <w:tcPr>
            <w:tcW w:w="584" w:type="dxa"/>
            <w:tcBorders>
              <w:top w:val="single" w:color="auto" w:sz="4" w:space="0"/>
              <w:left w:val="single" w:color="auto" w:sz="4" w:space="0"/>
              <w:bottom w:val="single" w:color="auto" w:sz="4" w:space="0"/>
              <w:right w:val="single" w:color="auto" w:sz="4" w:space="0"/>
            </w:tcBorders>
            <w:shd w:val="clear" w:color="auto" w:fill="FFFFFF"/>
            <w:vAlign w:val="center"/>
          </w:tcPr>
          <w:p w14:paraId="442DD55B">
            <w:pPr>
              <w:keepNext w:val="0"/>
              <w:keepLines w:val="0"/>
              <w:widowControl/>
              <w:suppressLineNumbers w:val="0"/>
              <w:jc w:val="center"/>
              <w:textAlignment w:val="center"/>
              <w:rPr>
                <w:rFonts w:hint="default" w:ascii="宋体" w:hAnsi="宋体" w:eastAsia="宋体" w:cs="宋体"/>
                <w:kern w:val="2"/>
                <w:sz w:val="24"/>
                <w:szCs w:val="24"/>
                <w:lang w:val="en-US" w:eastAsia="zh-CN" w:bidi="ar-SA"/>
              </w:rPr>
            </w:pPr>
            <w:r>
              <w:rPr>
                <w:rFonts w:hint="eastAsia" w:ascii="宋体" w:hAnsi="宋体" w:cs="宋体"/>
                <w:kern w:val="2"/>
                <w:sz w:val="24"/>
                <w:szCs w:val="24"/>
                <w:lang w:val="en-US" w:eastAsia="zh-CN" w:bidi="ar-SA"/>
              </w:rPr>
              <w:t>合计</w:t>
            </w:r>
          </w:p>
        </w:tc>
        <w:tc>
          <w:tcPr>
            <w:tcW w:w="7198" w:type="dxa"/>
            <w:gridSpan w:val="4"/>
            <w:tcBorders>
              <w:top w:val="single" w:color="auto" w:sz="4" w:space="0"/>
              <w:left w:val="single" w:color="auto" w:sz="4" w:space="0"/>
              <w:bottom w:val="single" w:color="auto" w:sz="4" w:space="0"/>
              <w:right w:val="single" w:color="auto" w:sz="4" w:space="0"/>
            </w:tcBorders>
            <w:shd w:val="clear" w:color="auto" w:fill="FFFFFF"/>
            <w:vAlign w:val="center"/>
          </w:tcPr>
          <w:p w14:paraId="114C0A69">
            <w:pPr>
              <w:keepNext w:val="0"/>
              <w:keepLines w:val="0"/>
              <w:widowControl/>
              <w:suppressLineNumbers w:val="0"/>
              <w:jc w:val="center"/>
              <w:textAlignment w:val="center"/>
              <w:rPr>
                <w:rFonts w:hint="eastAsia" w:ascii="宋体" w:hAnsi="宋体" w:eastAsia="宋体" w:cs="宋体"/>
                <w:kern w:val="2"/>
                <w:sz w:val="24"/>
                <w:szCs w:val="24"/>
                <w:lang w:val="en-US" w:eastAsia="zh-CN" w:bidi="ar-SA"/>
              </w:rPr>
            </w:pPr>
          </w:p>
        </w:tc>
        <w:tc>
          <w:tcPr>
            <w:tcW w:w="744" w:type="dxa"/>
            <w:tcBorders>
              <w:top w:val="single" w:color="auto" w:sz="4" w:space="0"/>
              <w:left w:val="single" w:color="auto" w:sz="4" w:space="0"/>
              <w:bottom w:val="single" w:color="auto" w:sz="4" w:space="0"/>
              <w:right w:val="single" w:color="auto" w:sz="4" w:space="0"/>
            </w:tcBorders>
            <w:shd w:val="clear" w:color="auto" w:fill="FFFFFF"/>
            <w:vAlign w:val="center"/>
          </w:tcPr>
          <w:p w14:paraId="4D7986C7">
            <w:pPr>
              <w:keepNext w:val="0"/>
              <w:keepLines w:val="0"/>
              <w:widowControl/>
              <w:suppressLineNumbers w:val="0"/>
              <w:jc w:val="center"/>
              <w:textAlignment w:val="center"/>
              <w:rPr>
                <w:rFonts w:hint="default" w:ascii="宋体" w:hAnsi="宋体" w:eastAsia="宋体" w:cs="宋体"/>
                <w:kern w:val="2"/>
                <w:sz w:val="24"/>
                <w:szCs w:val="24"/>
                <w:lang w:val="en-US" w:eastAsia="zh-CN" w:bidi="ar-SA"/>
              </w:rPr>
            </w:pPr>
            <w:r>
              <w:rPr>
                <w:rFonts w:hint="eastAsia" w:ascii="宋体" w:hAnsi="宋体" w:cs="宋体"/>
                <w:kern w:val="2"/>
                <w:sz w:val="24"/>
                <w:szCs w:val="24"/>
                <w:lang w:val="en-US" w:eastAsia="zh-CN" w:bidi="ar-SA"/>
              </w:rPr>
              <w:t>100</w:t>
            </w:r>
          </w:p>
        </w:tc>
        <w:tc>
          <w:tcPr>
            <w:tcW w:w="744" w:type="dxa"/>
            <w:tcBorders>
              <w:top w:val="single" w:color="auto" w:sz="4" w:space="0"/>
              <w:left w:val="single" w:color="auto" w:sz="4" w:space="0"/>
              <w:bottom w:val="single" w:color="auto" w:sz="4" w:space="0"/>
              <w:right w:val="single" w:color="auto" w:sz="4" w:space="0"/>
            </w:tcBorders>
            <w:shd w:val="clear" w:color="auto" w:fill="FFFFFF"/>
            <w:vAlign w:val="center"/>
          </w:tcPr>
          <w:p w14:paraId="6F5C6B98">
            <w:pPr>
              <w:keepNext w:val="0"/>
              <w:keepLines w:val="0"/>
              <w:widowControl/>
              <w:suppressLineNumbers w:val="0"/>
              <w:jc w:val="center"/>
              <w:textAlignment w:val="center"/>
              <w:rPr>
                <w:rFonts w:hint="default" w:ascii="宋体" w:hAnsi="宋体" w:eastAsia="宋体" w:cs="宋体"/>
                <w:kern w:val="2"/>
                <w:sz w:val="24"/>
                <w:szCs w:val="24"/>
                <w:lang w:val="en-US" w:eastAsia="zh-CN" w:bidi="ar-SA"/>
              </w:rPr>
            </w:pPr>
          </w:p>
        </w:tc>
      </w:tr>
    </w:tbl>
    <w:p w14:paraId="48181615">
      <w:pPr>
        <w:pStyle w:val="72"/>
        <w:numPr>
          <w:ilvl w:val="0"/>
          <w:numId w:val="0"/>
        </w:numPr>
        <w:adjustRightInd w:val="0"/>
        <w:snapToGrid w:val="0"/>
        <w:ind w:leftChars="0"/>
        <w:jc w:val="left"/>
        <w:outlineLvl w:val="9"/>
        <w:rPr>
          <w:rFonts w:ascii="宋体" w:hAnsi="宋体" w:eastAsia="宋体" w:cs="黑体"/>
          <w:b w:val="0"/>
          <w:bCs w:val="0"/>
          <w:sz w:val="24"/>
          <w:szCs w:val="24"/>
        </w:rPr>
      </w:pPr>
    </w:p>
    <w:p w14:paraId="191F2220">
      <w:pPr>
        <w:pStyle w:val="72"/>
        <w:numPr>
          <w:ilvl w:val="0"/>
          <w:numId w:val="24"/>
        </w:numPr>
        <w:adjustRightInd w:val="0"/>
        <w:snapToGrid w:val="0"/>
        <w:jc w:val="left"/>
        <w:outlineLvl w:val="9"/>
        <w:rPr>
          <w:rFonts w:ascii="宋体" w:hAnsi="宋体" w:eastAsia="宋体" w:cs="黑体"/>
          <w:b w:val="0"/>
          <w:bCs w:val="0"/>
          <w:sz w:val="24"/>
          <w:szCs w:val="24"/>
        </w:rPr>
      </w:pPr>
      <w:r>
        <w:rPr>
          <w:rFonts w:hint="eastAsia" w:ascii="宋体" w:hAnsi="宋体" w:eastAsia="宋体"/>
          <w:color w:val="000000" w:themeColor="text1"/>
          <w:sz w:val="24"/>
          <w:szCs w:val="24"/>
          <w:u w:val="single"/>
          <w14:textFill>
            <w14:solidFill>
              <w14:schemeClr w14:val="tx1"/>
            </w14:solidFill>
          </w14:textFill>
        </w:rPr>
        <w:t>选取</w:t>
      </w:r>
      <w:r>
        <w:rPr>
          <w:rFonts w:hint="eastAsia" w:hAnsi="宋体"/>
          <w:sz w:val="24"/>
          <w:szCs w:val="24"/>
          <w:u w:val="single"/>
        </w:rPr>
        <w:t>商务谈判后《附件</w:t>
      </w:r>
      <w:r>
        <w:rPr>
          <w:rFonts w:hAnsi="宋体"/>
          <w:sz w:val="24"/>
          <w:szCs w:val="24"/>
          <w:u w:val="single"/>
        </w:rPr>
        <w:t>3-</w:t>
      </w:r>
      <w:r>
        <w:rPr>
          <w:rFonts w:hint="eastAsia" w:hAnsi="宋体"/>
          <w:sz w:val="24"/>
          <w:szCs w:val="24"/>
          <w:u w:val="single"/>
        </w:rPr>
        <w:t>开标一览表》合计总价（未税）最低的投标人，为本项目中标人。</w:t>
      </w:r>
      <w:r>
        <w:rPr>
          <w:rFonts w:hint="eastAsia" w:ascii="宋体" w:hAnsi="宋体" w:eastAsia="宋体"/>
          <w:sz w:val="24"/>
          <w:szCs w:val="24"/>
          <w:u w:val="single"/>
        </w:rPr>
        <w:t>本次招标本着公平、公正、公开的原则，以综合评标法确定中标人，对未中标单位不做任何解释。</w:t>
      </w:r>
    </w:p>
    <w:p w14:paraId="08A0CE91">
      <w:pPr>
        <w:pStyle w:val="72"/>
        <w:numPr>
          <w:ilvl w:val="0"/>
          <w:numId w:val="24"/>
        </w:numPr>
        <w:adjustRightInd w:val="0"/>
        <w:snapToGrid w:val="0"/>
        <w:jc w:val="left"/>
        <w:outlineLvl w:val="9"/>
        <w:rPr>
          <w:rFonts w:ascii="宋体" w:hAnsi="宋体" w:eastAsia="宋体" w:cs="黑体"/>
          <w:b w:val="0"/>
          <w:bCs w:val="0"/>
          <w:sz w:val="24"/>
          <w:szCs w:val="24"/>
        </w:rPr>
      </w:pPr>
      <w:r>
        <w:rPr>
          <w:rFonts w:hint="eastAsia" w:ascii="宋体" w:hAnsi="宋体" w:eastAsia="宋体" w:cs="黑体"/>
          <w:b w:val="0"/>
          <w:bCs w:val="0"/>
          <w:sz w:val="24"/>
          <w:szCs w:val="24"/>
        </w:rPr>
        <w:t>评标流程</w:t>
      </w:r>
    </w:p>
    <w:p w14:paraId="45E85FF2">
      <w:pPr>
        <w:numPr>
          <w:ilvl w:val="0"/>
          <w:numId w:val="26"/>
        </w:numPr>
        <w:adjustRightInd w:val="0"/>
        <w:snapToGrid w:val="0"/>
        <w:spacing w:line="360" w:lineRule="auto"/>
        <w:jc w:val="left"/>
        <w:rPr>
          <w:rFonts w:ascii="宋体" w:hAnsi="宋体" w:cs="宋体"/>
          <w:bCs/>
          <w:color w:val="000000"/>
          <w:sz w:val="24"/>
          <w:szCs w:val="24"/>
        </w:rPr>
      </w:pPr>
      <w:r>
        <w:rPr>
          <w:rFonts w:hint="eastAsia" w:ascii="宋体" w:hAnsi="宋体" w:cs="宋体"/>
          <w:bCs/>
          <w:color w:val="000000"/>
          <w:sz w:val="24"/>
          <w:szCs w:val="24"/>
        </w:rPr>
        <w:t>应标资格审查：在“中国重汽e采通”应标报名时，按照招标文件中第四部分的“应标文件的编制”编制资料，上传完毕后，等待审核；</w:t>
      </w:r>
    </w:p>
    <w:p w14:paraId="160C453E">
      <w:pPr>
        <w:numPr>
          <w:ilvl w:val="0"/>
          <w:numId w:val="26"/>
        </w:numPr>
        <w:adjustRightInd w:val="0"/>
        <w:snapToGrid w:val="0"/>
        <w:spacing w:line="360" w:lineRule="auto"/>
        <w:jc w:val="left"/>
        <w:rPr>
          <w:rFonts w:ascii="宋体" w:hAnsi="宋体" w:cs="宋体"/>
          <w:bCs/>
          <w:color w:val="000000"/>
          <w:sz w:val="24"/>
          <w:szCs w:val="24"/>
        </w:rPr>
      </w:pPr>
      <w:r>
        <w:rPr>
          <w:rFonts w:hint="eastAsia" w:ascii="宋体" w:hAnsi="宋体" w:cs="宋体"/>
          <w:bCs/>
          <w:color w:val="000000"/>
          <w:sz w:val="24"/>
          <w:szCs w:val="24"/>
        </w:rPr>
        <w:t>通过应标资格审查的单位进入投标环节，按照“SRM系统供应商用户手册（附件</w:t>
      </w:r>
      <w:r>
        <w:rPr>
          <w:rFonts w:ascii="宋体" w:hAnsi="宋体" w:cs="宋体"/>
          <w:bCs/>
          <w:color w:val="000000"/>
          <w:sz w:val="24"/>
          <w:szCs w:val="24"/>
        </w:rPr>
        <w:t>7</w:t>
      </w:r>
      <w:r>
        <w:rPr>
          <w:rFonts w:hint="eastAsia" w:ascii="宋体" w:hAnsi="宋体" w:cs="宋体"/>
          <w:bCs/>
          <w:color w:val="000000"/>
          <w:sz w:val="24"/>
          <w:szCs w:val="24"/>
        </w:rPr>
        <w:t>）”，在重汽e采通平台投递电子标书（包含资质标、技术标、商务标）；没有通过应标资质审查的单位不能进入投标环节；</w:t>
      </w:r>
    </w:p>
    <w:p w14:paraId="141B8375">
      <w:pPr>
        <w:numPr>
          <w:ilvl w:val="0"/>
          <w:numId w:val="26"/>
        </w:numPr>
        <w:adjustRightInd w:val="0"/>
        <w:snapToGrid w:val="0"/>
        <w:spacing w:line="360" w:lineRule="auto"/>
        <w:jc w:val="left"/>
        <w:rPr>
          <w:rFonts w:ascii="宋体" w:hAnsi="宋体" w:cs="宋体"/>
          <w:bCs/>
          <w:color w:val="000000"/>
          <w:sz w:val="24"/>
          <w:szCs w:val="24"/>
        </w:rPr>
      </w:pPr>
      <w:r>
        <w:rPr>
          <w:rFonts w:hint="eastAsia" w:ascii="宋体" w:hAnsi="宋体" w:cs="宋体"/>
          <w:bCs/>
          <w:color w:val="000000"/>
          <w:sz w:val="24"/>
          <w:szCs w:val="24"/>
        </w:rPr>
        <w:t>资质标评审：资质标审核通过的单位，可以进入公开唱标环节；</w:t>
      </w:r>
    </w:p>
    <w:p w14:paraId="0099B806">
      <w:pPr>
        <w:numPr>
          <w:ilvl w:val="0"/>
          <w:numId w:val="26"/>
        </w:numPr>
        <w:adjustRightInd w:val="0"/>
        <w:snapToGrid w:val="0"/>
        <w:spacing w:line="360" w:lineRule="auto"/>
        <w:jc w:val="left"/>
        <w:rPr>
          <w:rFonts w:ascii="宋体" w:hAnsi="宋体" w:cs="宋体"/>
          <w:bCs/>
          <w:color w:val="000000"/>
          <w:sz w:val="24"/>
          <w:szCs w:val="24"/>
        </w:rPr>
      </w:pPr>
      <w:r>
        <w:rPr>
          <w:rFonts w:hint="eastAsia" w:ascii="宋体" w:hAnsi="宋体" w:cs="宋体"/>
          <w:bCs/>
          <w:color w:val="000000"/>
          <w:sz w:val="24"/>
          <w:szCs w:val="24"/>
        </w:rPr>
        <w:t>公开唱标：公示资质标入围单位的开标价格及商务条款响应情况；</w:t>
      </w:r>
    </w:p>
    <w:p w14:paraId="1287D780">
      <w:pPr>
        <w:numPr>
          <w:ilvl w:val="0"/>
          <w:numId w:val="26"/>
        </w:numPr>
        <w:adjustRightInd w:val="0"/>
        <w:snapToGrid w:val="0"/>
        <w:spacing w:line="360" w:lineRule="auto"/>
        <w:jc w:val="left"/>
        <w:rPr>
          <w:rFonts w:ascii="宋体" w:hAnsi="宋体" w:cs="宋体"/>
          <w:b/>
          <w:bCs/>
          <w:color w:val="000000"/>
          <w:sz w:val="24"/>
          <w:szCs w:val="24"/>
        </w:rPr>
      </w:pPr>
      <w:r>
        <w:rPr>
          <w:rFonts w:hint="eastAsia" w:ascii="宋体" w:hAnsi="宋体" w:cs="宋体"/>
          <w:b/>
          <w:bCs/>
          <w:color w:val="000000"/>
          <w:sz w:val="24"/>
          <w:szCs w:val="24"/>
        </w:rPr>
        <w:t>商务标评审：商务条款相应确认→价格澄清→商务标评审；评审期间产生的商务价格澄清均由投标人在重汽e采通平台限时内完成提交；</w:t>
      </w:r>
    </w:p>
    <w:p w14:paraId="61C61114">
      <w:pPr>
        <w:pStyle w:val="76"/>
        <w:numPr>
          <w:ilvl w:val="0"/>
          <w:numId w:val="26"/>
        </w:numPr>
        <w:adjustRightInd w:val="0"/>
        <w:snapToGrid w:val="0"/>
        <w:rPr>
          <w:rFonts w:hAnsi="宋体"/>
          <w:sz w:val="24"/>
          <w:szCs w:val="24"/>
        </w:rPr>
      </w:pPr>
      <w:r>
        <w:rPr>
          <w:rFonts w:hint="eastAsia" w:hAnsi="宋体"/>
          <w:sz w:val="24"/>
          <w:szCs w:val="24"/>
        </w:rPr>
        <w:t>注意：所有参与现场投标的投标人，需要自带笔记本电脑在“重汽e采通”进行自主投标和提交澄清函；投标和提交澄清函均有时间限制，超时未提交的按无效处理。</w:t>
      </w:r>
    </w:p>
    <w:p w14:paraId="5CF2AEDD">
      <w:pPr>
        <w:pStyle w:val="76"/>
        <w:numPr>
          <w:ilvl w:val="0"/>
          <w:numId w:val="26"/>
        </w:numPr>
        <w:adjustRightInd w:val="0"/>
        <w:snapToGrid w:val="0"/>
        <w:rPr>
          <w:rFonts w:hAnsi="宋体"/>
          <w:sz w:val="24"/>
          <w:szCs w:val="24"/>
          <w:u w:val="single"/>
        </w:rPr>
      </w:pPr>
      <w:r>
        <w:rPr>
          <w:rFonts w:hint="eastAsia" w:hAnsi="宋体"/>
          <w:sz w:val="24"/>
          <w:szCs w:val="24"/>
          <w:u w:val="single"/>
        </w:rPr>
        <w:t>投标人提交的投标文件和资料必须真实有效。合同签订前，招标人有权组织联合小组（财务、技术、设备、质量等）到中标候选人实地审核，如发现投标文件和资料有弄虚作假，招标人有权取消其中标候选人资格，同时招标人有权扣留其投标保证金。</w:t>
      </w:r>
    </w:p>
    <w:p w14:paraId="7BD57E33">
      <w:pPr>
        <w:pStyle w:val="72"/>
        <w:adjustRightInd w:val="0"/>
        <w:snapToGrid w:val="0"/>
        <w:ind w:left="0" w:firstLine="0"/>
        <w:jc w:val="left"/>
        <w:outlineLvl w:val="9"/>
        <w:rPr>
          <w:rFonts w:ascii="宋体" w:hAnsi="宋体" w:eastAsia="宋体"/>
          <w:sz w:val="24"/>
          <w:szCs w:val="24"/>
        </w:rPr>
      </w:pPr>
      <w:r>
        <w:rPr>
          <w:rFonts w:hint="eastAsia" w:ascii="宋体" w:hAnsi="宋体" w:eastAsia="宋体"/>
          <w:sz w:val="24"/>
          <w:szCs w:val="24"/>
        </w:rPr>
        <w:t>定标</w:t>
      </w:r>
    </w:p>
    <w:p w14:paraId="5C6A3CFF">
      <w:pPr>
        <w:pStyle w:val="76"/>
        <w:adjustRightInd w:val="0"/>
        <w:snapToGrid w:val="0"/>
        <w:ind w:firstLine="480" w:firstLineChars="200"/>
        <w:rPr>
          <w:rFonts w:hAnsi="宋体"/>
          <w:sz w:val="24"/>
          <w:szCs w:val="24"/>
        </w:rPr>
      </w:pPr>
      <w:r>
        <w:rPr>
          <w:rFonts w:hint="eastAsia" w:hAnsi="宋体"/>
          <w:sz w:val="24"/>
          <w:szCs w:val="24"/>
        </w:rPr>
        <w:t>本项目产生</w:t>
      </w:r>
      <w:r>
        <w:rPr>
          <w:rFonts w:hint="eastAsia" w:hAnsi="宋体"/>
          <w:sz w:val="24"/>
          <w:szCs w:val="24"/>
          <w:u w:val="single"/>
        </w:rPr>
        <w:t>1</w:t>
      </w:r>
      <w:r>
        <w:rPr>
          <w:rFonts w:hint="eastAsia" w:hAnsi="宋体"/>
          <w:sz w:val="24"/>
          <w:szCs w:val="24"/>
        </w:rPr>
        <w:t>个中标人。中标人签订合同前须进行最终审查。最终审查的对象是投标项目的中标候选人。最终审查的内容是对中标候选人的经营状况、服务质量、资格、信誉以及招标人认为有必要了解的其它问题作进一步的考查及后审。最终审查的方式，根据需要采取问询或实地查证等方式。如审查结果不符合成交条件的，则本次评标作废或变更意向中标人。</w:t>
      </w:r>
    </w:p>
    <w:p w14:paraId="7F7C79DD">
      <w:pPr>
        <w:pStyle w:val="72"/>
        <w:adjustRightInd w:val="0"/>
        <w:snapToGrid w:val="0"/>
        <w:ind w:left="0" w:firstLine="0"/>
        <w:jc w:val="left"/>
        <w:outlineLvl w:val="9"/>
        <w:rPr>
          <w:rFonts w:ascii="宋体" w:hAnsi="宋体" w:eastAsia="宋体"/>
          <w:sz w:val="24"/>
          <w:szCs w:val="24"/>
        </w:rPr>
      </w:pPr>
      <w:r>
        <w:rPr>
          <w:rFonts w:hint="eastAsia" w:ascii="宋体" w:hAnsi="宋体" w:eastAsia="宋体"/>
          <w:sz w:val="24"/>
          <w:szCs w:val="24"/>
        </w:rPr>
        <w:t>废标及终止招标</w:t>
      </w:r>
    </w:p>
    <w:p w14:paraId="34A3C3B4">
      <w:pPr>
        <w:pStyle w:val="72"/>
        <w:numPr>
          <w:ilvl w:val="0"/>
          <w:numId w:val="27"/>
        </w:numPr>
        <w:adjustRightInd w:val="0"/>
        <w:snapToGrid w:val="0"/>
        <w:jc w:val="left"/>
        <w:outlineLvl w:val="9"/>
        <w:rPr>
          <w:rFonts w:ascii="宋体" w:hAnsi="宋体" w:eastAsia="宋体" w:cs="黑体"/>
          <w:b w:val="0"/>
          <w:bCs w:val="0"/>
          <w:sz w:val="24"/>
          <w:szCs w:val="24"/>
        </w:rPr>
      </w:pPr>
      <w:r>
        <w:rPr>
          <w:rFonts w:hint="eastAsia" w:ascii="宋体" w:hAnsi="宋体" w:eastAsia="宋体" w:cs="黑体"/>
          <w:b w:val="0"/>
          <w:bCs w:val="0"/>
          <w:sz w:val="24"/>
          <w:szCs w:val="24"/>
        </w:rPr>
        <w:t>投标人有下列情形之一，其投标将被视为废标，招标人将严格按照《中华人民共和国招标投标法》及相关法律、法规及规章制度的规定行使权利。投标人给招标人造成损失的，招标人有索赔的权利，投标人应予以赔偿。</w:t>
      </w:r>
    </w:p>
    <w:p w14:paraId="090125E9">
      <w:pPr>
        <w:pStyle w:val="76"/>
        <w:numPr>
          <w:ilvl w:val="1"/>
          <w:numId w:val="28"/>
        </w:numPr>
        <w:adjustRightInd w:val="0"/>
        <w:snapToGrid w:val="0"/>
        <w:rPr>
          <w:rFonts w:hAnsi="宋体"/>
          <w:sz w:val="24"/>
          <w:szCs w:val="24"/>
        </w:rPr>
      </w:pPr>
      <w:r>
        <w:rPr>
          <w:rFonts w:hint="eastAsia" w:hAnsi="宋体"/>
          <w:sz w:val="24"/>
          <w:szCs w:val="24"/>
        </w:rPr>
        <w:t>投标人提供的有关资格、资质证明文件不合格、不真实或提供虚假投标材料；</w:t>
      </w:r>
    </w:p>
    <w:p w14:paraId="43667223">
      <w:pPr>
        <w:pStyle w:val="76"/>
        <w:numPr>
          <w:ilvl w:val="1"/>
          <w:numId w:val="28"/>
        </w:numPr>
        <w:adjustRightInd w:val="0"/>
        <w:snapToGrid w:val="0"/>
        <w:rPr>
          <w:rFonts w:hAnsi="宋体"/>
          <w:sz w:val="24"/>
          <w:szCs w:val="24"/>
        </w:rPr>
      </w:pPr>
      <w:r>
        <w:rPr>
          <w:rFonts w:hint="eastAsia" w:hAnsi="宋体"/>
          <w:sz w:val="24"/>
          <w:szCs w:val="24"/>
        </w:rPr>
        <w:t>投标人在报价有效期内撤回投标；</w:t>
      </w:r>
    </w:p>
    <w:p w14:paraId="7B15CD45">
      <w:pPr>
        <w:pStyle w:val="76"/>
        <w:numPr>
          <w:ilvl w:val="1"/>
          <w:numId w:val="28"/>
        </w:numPr>
        <w:adjustRightInd w:val="0"/>
        <w:snapToGrid w:val="0"/>
        <w:rPr>
          <w:rFonts w:hAnsi="宋体"/>
          <w:sz w:val="24"/>
          <w:szCs w:val="24"/>
        </w:rPr>
      </w:pPr>
      <w:r>
        <w:rPr>
          <w:rFonts w:hint="eastAsia" w:hAnsi="宋体"/>
          <w:sz w:val="24"/>
          <w:szCs w:val="24"/>
        </w:rPr>
        <w:t>在整个评标过程中，投标人有企图影响评标结果公正性的任何活动；</w:t>
      </w:r>
    </w:p>
    <w:p w14:paraId="3141A56F">
      <w:pPr>
        <w:pStyle w:val="76"/>
        <w:numPr>
          <w:ilvl w:val="1"/>
          <w:numId w:val="28"/>
        </w:numPr>
        <w:adjustRightInd w:val="0"/>
        <w:snapToGrid w:val="0"/>
        <w:rPr>
          <w:rFonts w:hAnsi="宋体"/>
          <w:sz w:val="24"/>
          <w:szCs w:val="24"/>
        </w:rPr>
      </w:pPr>
      <w:r>
        <w:rPr>
          <w:rFonts w:hint="eastAsia" w:hAnsi="宋体"/>
          <w:sz w:val="24"/>
          <w:szCs w:val="24"/>
        </w:rPr>
        <w:t>投标人以任何方式诋毁其他投标人；</w:t>
      </w:r>
    </w:p>
    <w:p w14:paraId="0CD338EF">
      <w:pPr>
        <w:pStyle w:val="76"/>
        <w:numPr>
          <w:ilvl w:val="1"/>
          <w:numId w:val="28"/>
        </w:numPr>
        <w:adjustRightInd w:val="0"/>
        <w:snapToGrid w:val="0"/>
        <w:rPr>
          <w:rFonts w:hAnsi="宋体"/>
          <w:sz w:val="24"/>
          <w:szCs w:val="24"/>
        </w:rPr>
      </w:pPr>
      <w:r>
        <w:rPr>
          <w:rFonts w:hint="eastAsia" w:hAnsi="宋体"/>
          <w:sz w:val="24"/>
          <w:szCs w:val="24"/>
        </w:rPr>
        <w:t>投标人串通投标；</w:t>
      </w:r>
    </w:p>
    <w:p w14:paraId="454F2B98">
      <w:pPr>
        <w:pStyle w:val="76"/>
        <w:numPr>
          <w:ilvl w:val="1"/>
          <w:numId w:val="28"/>
        </w:numPr>
        <w:adjustRightInd w:val="0"/>
        <w:snapToGrid w:val="0"/>
        <w:rPr>
          <w:rFonts w:hAnsi="宋体"/>
          <w:sz w:val="24"/>
          <w:szCs w:val="24"/>
        </w:rPr>
      </w:pPr>
      <w:r>
        <w:rPr>
          <w:rFonts w:hint="eastAsia" w:hAnsi="宋体"/>
          <w:sz w:val="24"/>
          <w:szCs w:val="24"/>
        </w:rPr>
        <w:t>投标人被举报、检举，并经招标人查实无误的；</w:t>
      </w:r>
    </w:p>
    <w:p w14:paraId="3DDEE7F3">
      <w:pPr>
        <w:pStyle w:val="76"/>
        <w:numPr>
          <w:ilvl w:val="1"/>
          <w:numId w:val="28"/>
        </w:numPr>
        <w:adjustRightInd w:val="0"/>
        <w:snapToGrid w:val="0"/>
        <w:rPr>
          <w:rFonts w:hAnsi="宋体"/>
          <w:sz w:val="24"/>
          <w:szCs w:val="24"/>
        </w:rPr>
      </w:pPr>
      <w:r>
        <w:rPr>
          <w:rFonts w:hint="eastAsia" w:hAnsi="宋体"/>
          <w:sz w:val="24"/>
          <w:szCs w:val="24"/>
        </w:rPr>
        <w:t>以他人名义投标或者以其他方式弄虚作假，骗取中标的；</w:t>
      </w:r>
    </w:p>
    <w:p w14:paraId="6A7963B6">
      <w:pPr>
        <w:pStyle w:val="76"/>
        <w:numPr>
          <w:ilvl w:val="1"/>
          <w:numId w:val="28"/>
        </w:numPr>
        <w:adjustRightInd w:val="0"/>
        <w:snapToGrid w:val="0"/>
        <w:rPr>
          <w:rFonts w:hAnsi="宋体"/>
          <w:sz w:val="24"/>
          <w:szCs w:val="24"/>
        </w:rPr>
      </w:pPr>
      <w:r>
        <w:rPr>
          <w:rFonts w:hint="eastAsia" w:hAnsi="宋体"/>
          <w:sz w:val="24"/>
          <w:szCs w:val="24"/>
        </w:rPr>
        <w:t>投标人负责人为同一人或者存在控股、管理关系的不同单位；</w:t>
      </w:r>
    </w:p>
    <w:p w14:paraId="46029202">
      <w:pPr>
        <w:pStyle w:val="76"/>
        <w:numPr>
          <w:ilvl w:val="1"/>
          <w:numId w:val="28"/>
        </w:numPr>
        <w:adjustRightInd w:val="0"/>
        <w:snapToGrid w:val="0"/>
        <w:rPr>
          <w:rFonts w:hAnsi="宋体"/>
          <w:sz w:val="24"/>
          <w:szCs w:val="24"/>
        </w:rPr>
      </w:pPr>
      <w:r>
        <w:rPr>
          <w:rFonts w:hint="eastAsia" w:hAnsi="宋体"/>
          <w:sz w:val="24"/>
          <w:szCs w:val="24"/>
        </w:rPr>
        <w:t>有效投标不足三家；</w:t>
      </w:r>
    </w:p>
    <w:p w14:paraId="37809EAA">
      <w:pPr>
        <w:pStyle w:val="76"/>
        <w:numPr>
          <w:ilvl w:val="1"/>
          <w:numId w:val="28"/>
        </w:numPr>
        <w:adjustRightInd w:val="0"/>
        <w:snapToGrid w:val="0"/>
        <w:rPr>
          <w:rFonts w:hAnsi="宋体"/>
          <w:sz w:val="24"/>
          <w:szCs w:val="24"/>
        </w:rPr>
      </w:pPr>
      <w:r>
        <w:rPr>
          <w:rFonts w:hint="eastAsia" w:hAnsi="宋体"/>
          <w:sz w:val="24"/>
          <w:szCs w:val="24"/>
        </w:rPr>
        <w:t>不同投标人的投标文件异常一致或者投标报价呈规律性差异的；</w:t>
      </w:r>
    </w:p>
    <w:p w14:paraId="09E11616">
      <w:pPr>
        <w:pStyle w:val="76"/>
        <w:numPr>
          <w:ilvl w:val="1"/>
          <w:numId w:val="28"/>
        </w:numPr>
        <w:adjustRightInd w:val="0"/>
        <w:snapToGrid w:val="0"/>
        <w:rPr>
          <w:rFonts w:hAnsi="宋体"/>
          <w:sz w:val="24"/>
          <w:szCs w:val="24"/>
        </w:rPr>
      </w:pPr>
      <w:r>
        <w:rPr>
          <w:rFonts w:hint="eastAsia" w:hAnsi="宋体"/>
          <w:sz w:val="24"/>
          <w:szCs w:val="24"/>
        </w:rPr>
        <w:t>投标人报价均超过最高限价的；</w:t>
      </w:r>
    </w:p>
    <w:p w14:paraId="3BA32CE6">
      <w:pPr>
        <w:pStyle w:val="76"/>
        <w:numPr>
          <w:ilvl w:val="1"/>
          <w:numId w:val="28"/>
        </w:numPr>
        <w:adjustRightInd w:val="0"/>
        <w:snapToGrid w:val="0"/>
        <w:rPr>
          <w:rFonts w:hAnsi="宋体"/>
          <w:sz w:val="24"/>
          <w:szCs w:val="24"/>
        </w:rPr>
      </w:pPr>
      <w:r>
        <w:rPr>
          <w:rFonts w:hint="eastAsia" w:hAnsi="宋体"/>
          <w:sz w:val="24"/>
          <w:szCs w:val="24"/>
        </w:rPr>
        <w:t>未按要求填报商务报价资料，对招标开展造成较大影响；</w:t>
      </w:r>
    </w:p>
    <w:p w14:paraId="61AE0EA5">
      <w:pPr>
        <w:pStyle w:val="76"/>
        <w:numPr>
          <w:ilvl w:val="1"/>
          <w:numId w:val="28"/>
        </w:numPr>
        <w:adjustRightInd w:val="0"/>
        <w:snapToGrid w:val="0"/>
        <w:rPr>
          <w:rFonts w:hAnsi="宋体"/>
          <w:sz w:val="24"/>
          <w:szCs w:val="24"/>
        </w:rPr>
      </w:pPr>
      <w:r>
        <w:rPr>
          <w:rFonts w:hint="eastAsia" w:hAnsi="宋体"/>
          <w:sz w:val="24"/>
          <w:szCs w:val="24"/>
        </w:rPr>
        <w:t>未按照招标人规定的时间内在中国重汽e采通完成投标的；</w:t>
      </w:r>
    </w:p>
    <w:p w14:paraId="500C91AD">
      <w:pPr>
        <w:pStyle w:val="76"/>
        <w:numPr>
          <w:ilvl w:val="1"/>
          <w:numId w:val="28"/>
        </w:numPr>
        <w:adjustRightInd w:val="0"/>
        <w:snapToGrid w:val="0"/>
        <w:rPr>
          <w:rFonts w:hAnsi="宋体"/>
          <w:sz w:val="24"/>
          <w:szCs w:val="24"/>
        </w:rPr>
      </w:pPr>
      <w:r>
        <w:rPr>
          <w:rFonts w:hint="eastAsia" w:hAnsi="宋体"/>
          <w:sz w:val="24"/>
          <w:szCs w:val="24"/>
        </w:rPr>
        <w:t>法律、法规规定的其他情况。</w:t>
      </w:r>
    </w:p>
    <w:p w14:paraId="3549F104">
      <w:pPr>
        <w:pStyle w:val="72"/>
        <w:numPr>
          <w:ilvl w:val="0"/>
          <w:numId w:val="27"/>
        </w:numPr>
        <w:adjustRightInd w:val="0"/>
        <w:snapToGrid w:val="0"/>
        <w:jc w:val="left"/>
        <w:outlineLvl w:val="9"/>
        <w:rPr>
          <w:rFonts w:ascii="宋体" w:hAnsi="宋体" w:eastAsia="宋体" w:cs="黑体"/>
          <w:b w:val="0"/>
          <w:bCs w:val="0"/>
          <w:sz w:val="24"/>
          <w:szCs w:val="24"/>
        </w:rPr>
      </w:pPr>
      <w:r>
        <w:rPr>
          <w:rFonts w:hint="eastAsia" w:ascii="宋体" w:hAnsi="宋体" w:eastAsia="宋体" w:cs="黑体"/>
          <w:b w:val="0"/>
          <w:bCs w:val="0"/>
          <w:sz w:val="24"/>
          <w:szCs w:val="24"/>
        </w:rPr>
        <w:t>出现下列情形之一，招标人有权否决所有投标人的投标，并终止招标。</w:t>
      </w:r>
    </w:p>
    <w:p w14:paraId="0440904B">
      <w:pPr>
        <w:numPr>
          <w:ilvl w:val="0"/>
          <w:numId w:val="29"/>
        </w:numPr>
        <w:adjustRightInd w:val="0"/>
        <w:snapToGrid w:val="0"/>
        <w:spacing w:line="360" w:lineRule="auto"/>
        <w:jc w:val="left"/>
        <w:rPr>
          <w:rFonts w:ascii="宋体" w:hAnsi="宋体" w:cs="宋体"/>
          <w:sz w:val="24"/>
          <w:szCs w:val="24"/>
        </w:rPr>
      </w:pPr>
      <w:r>
        <w:rPr>
          <w:rFonts w:hint="eastAsia" w:ascii="宋体" w:hAnsi="宋体" w:cs="宋体"/>
          <w:sz w:val="24"/>
          <w:szCs w:val="24"/>
        </w:rPr>
        <w:t>符合条件的投标人或者对招标文件做实质响应的投标人不足三家的；</w:t>
      </w:r>
    </w:p>
    <w:p w14:paraId="7302BB39">
      <w:pPr>
        <w:numPr>
          <w:ilvl w:val="0"/>
          <w:numId w:val="29"/>
        </w:numPr>
        <w:adjustRightInd w:val="0"/>
        <w:snapToGrid w:val="0"/>
        <w:spacing w:line="360" w:lineRule="auto"/>
        <w:jc w:val="left"/>
        <w:rPr>
          <w:rFonts w:ascii="宋体" w:hAnsi="宋体" w:cs="宋体"/>
          <w:sz w:val="24"/>
          <w:szCs w:val="24"/>
        </w:rPr>
      </w:pPr>
      <w:r>
        <w:rPr>
          <w:rFonts w:hint="eastAsia" w:ascii="宋体" w:hAnsi="宋体" w:cs="宋体"/>
          <w:sz w:val="24"/>
          <w:szCs w:val="24"/>
        </w:rPr>
        <w:t>出现影响采购公正的违法、违规行为的；</w:t>
      </w:r>
    </w:p>
    <w:p w14:paraId="621F7CFD">
      <w:pPr>
        <w:numPr>
          <w:ilvl w:val="0"/>
          <w:numId w:val="29"/>
        </w:numPr>
        <w:adjustRightInd w:val="0"/>
        <w:snapToGrid w:val="0"/>
        <w:spacing w:line="360" w:lineRule="auto"/>
        <w:jc w:val="left"/>
        <w:rPr>
          <w:rFonts w:ascii="宋体" w:hAnsi="宋体" w:cs="宋体"/>
          <w:sz w:val="24"/>
          <w:szCs w:val="24"/>
        </w:rPr>
      </w:pPr>
      <w:r>
        <w:rPr>
          <w:rFonts w:hint="eastAsia" w:ascii="宋体" w:hAnsi="宋体" w:cs="宋体"/>
          <w:sz w:val="24"/>
          <w:szCs w:val="24"/>
        </w:rPr>
        <w:t>评标委员会经评审，认为所有投标都不符合招标文件要求的；</w:t>
      </w:r>
    </w:p>
    <w:p w14:paraId="1F1252FC">
      <w:pPr>
        <w:numPr>
          <w:ilvl w:val="0"/>
          <w:numId w:val="29"/>
        </w:numPr>
        <w:adjustRightInd w:val="0"/>
        <w:snapToGrid w:val="0"/>
        <w:spacing w:line="360" w:lineRule="auto"/>
        <w:jc w:val="left"/>
        <w:rPr>
          <w:rFonts w:ascii="宋体" w:hAnsi="宋体" w:cs="宋体"/>
          <w:sz w:val="24"/>
          <w:szCs w:val="24"/>
        </w:rPr>
      </w:pPr>
      <w:r>
        <w:rPr>
          <w:rFonts w:hint="eastAsia" w:ascii="宋体" w:hAnsi="宋体" w:cs="宋体"/>
          <w:sz w:val="24"/>
          <w:szCs w:val="24"/>
        </w:rPr>
        <w:t>因重大变故，采购任务取消的</w:t>
      </w:r>
      <w:bookmarkStart w:id="6" w:name="OLE_LINK28"/>
      <w:bookmarkStart w:id="7" w:name="OLE_LINK29"/>
      <w:bookmarkStart w:id="8" w:name="OLE_LINK26"/>
      <w:bookmarkStart w:id="9" w:name="OLE_LINK25"/>
      <w:bookmarkStart w:id="10" w:name="OLE_LINK27"/>
      <w:r>
        <w:rPr>
          <w:rFonts w:hint="eastAsia" w:ascii="宋体" w:hAnsi="宋体" w:cs="宋体"/>
          <w:sz w:val="24"/>
          <w:szCs w:val="24"/>
        </w:rPr>
        <w:t>；</w:t>
      </w:r>
      <w:bookmarkEnd w:id="6"/>
      <w:bookmarkEnd w:id="7"/>
      <w:bookmarkEnd w:id="8"/>
      <w:bookmarkEnd w:id="9"/>
      <w:bookmarkEnd w:id="10"/>
    </w:p>
    <w:p w14:paraId="21926DED">
      <w:pPr>
        <w:numPr>
          <w:ilvl w:val="0"/>
          <w:numId w:val="29"/>
        </w:numPr>
        <w:adjustRightInd w:val="0"/>
        <w:snapToGrid w:val="0"/>
        <w:spacing w:line="360" w:lineRule="auto"/>
        <w:jc w:val="left"/>
        <w:rPr>
          <w:rFonts w:ascii="宋体" w:hAnsi="宋体" w:cs="宋体"/>
          <w:sz w:val="24"/>
          <w:szCs w:val="24"/>
        </w:rPr>
      </w:pPr>
      <w:r>
        <w:rPr>
          <w:rFonts w:hint="eastAsia" w:ascii="宋体" w:hAnsi="宋体" w:cs="宋体"/>
          <w:sz w:val="24"/>
          <w:szCs w:val="24"/>
        </w:rPr>
        <w:t>招标人认为其他应终止招标的情形。</w:t>
      </w:r>
    </w:p>
    <w:p w14:paraId="137E1EB9">
      <w:pPr>
        <w:pStyle w:val="72"/>
        <w:numPr>
          <w:ilvl w:val="0"/>
          <w:numId w:val="29"/>
        </w:numPr>
        <w:adjustRightInd w:val="0"/>
        <w:snapToGrid w:val="0"/>
        <w:jc w:val="left"/>
        <w:outlineLvl w:val="9"/>
        <w:rPr>
          <w:rFonts w:ascii="宋体" w:hAnsi="宋体" w:eastAsia="宋体" w:cs="黑体"/>
          <w:b w:val="0"/>
          <w:bCs w:val="0"/>
          <w:sz w:val="24"/>
          <w:szCs w:val="24"/>
        </w:rPr>
      </w:pPr>
      <w:r>
        <w:rPr>
          <w:rFonts w:hint="eastAsia" w:ascii="宋体" w:hAnsi="宋体" w:eastAsia="宋体" w:cs="黑体"/>
          <w:b w:val="0"/>
          <w:bCs w:val="0"/>
          <w:sz w:val="24"/>
          <w:szCs w:val="24"/>
        </w:rPr>
        <w:t>中标人瑕疵滞后发现的处理原则：无论基于何种原因，各项本应作为拒绝处理的情形，即便未被及时发现或中标人隐瞒真实情况，而使该中标人通过了资格审核、初评、现场复审、终评或其他所有相关程序，包括已发布中标通知或已签订合同的情形，招标人均有权拒绝或取消中标人资格，一旦中标人被拒绝或该中标人此前的评议结果被取消，相关的一切损失均由该中标人承担。</w:t>
      </w:r>
    </w:p>
    <w:p w14:paraId="59913A62">
      <w:pPr>
        <w:pStyle w:val="72"/>
        <w:adjustRightInd w:val="0"/>
        <w:snapToGrid w:val="0"/>
        <w:ind w:left="0" w:firstLine="0"/>
        <w:jc w:val="left"/>
        <w:outlineLvl w:val="9"/>
        <w:rPr>
          <w:rFonts w:ascii="宋体" w:hAnsi="宋体" w:eastAsia="宋体"/>
          <w:sz w:val="24"/>
          <w:szCs w:val="24"/>
        </w:rPr>
      </w:pPr>
      <w:r>
        <w:rPr>
          <w:rFonts w:hint="eastAsia" w:ascii="宋体" w:hAnsi="宋体" w:eastAsia="宋体"/>
          <w:sz w:val="24"/>
          <w:szCs w:val="24"/>
        </w:rPr>
        <w:t>合同签订</w:t>
      </w:r>
    </w:p>
    <w:p w14:paraId="6632950C">
      <w:pPr>
        <w:numPr>
          <w:ilvl w:val="0"/>
          <w:numId w:val="30"/>
        </w:numPr>
        <w:adjustRightInd w:val="0"/>
        <w:snapToGrid w:val="0"/>
        <w:spacing w:line="360" w:lineRule="auto"/>
        <w:jc w:val="left"/>
        <w:rPr>
          <w:rFonts w:ascii="宋体" w:hAnsi="宋体" w:cs="宋体"/>
          <w:color w:val="000000"/>
          <w:sz w:val="24"/>
          <w:szCs w:val="24"/>
        </w:rPr>
      </w:pPr>
      <w:r>
        <w:rPr>
          <w:rFonts w:hint="eastAsia" w:ascii="宋体" w:hAnsi="宋体" w:cs="宋体"/>
          <w:color w:val="000000"/>
          <w:sz w:val="24"/>
          <w:szCs w:val="24"/>
        </w:rPr>
        <w:t>招标人根据评标工作小组的评标结果确定中标人，在重汽e采通平台公布中标结果，并发送中标通知。</w:t>
      </w:r>
    </w:p>
    <w:p w14:paraId="6B6D41A0">
      <w:pPr>
        <w:numPr>
          <w:ilvl w:val="0"/>
          <w:numId w:val="30"/>
        </w:numPr>
        <w:adjustRightInd w:val="0"/>
        <w:snapToGrid w:val="0"/>
        <w:spacing w:line="360" w:lineRule="auto"/>
        <w:jc w:val="left"/>
        <w:rPr>
          <w:rFonts w:ascii="宋体" w:hAnsi="宋体" w:cs="宋体"/>
          <w:color w:val="000000"/>
          <w:sz w:val="24"/>
          <w:szCs w:val="24"/>
        </w:rPr>
      </w:pPr>
      <w:r>
        <w:rPr>
          <w:rFonts w:hint="eastAsia" w:ascii="宋体" w:hAnsi="宋体" w:cs="宋体"/>
          <w:color w:val="000000"/>
          <w:sz w:val="24"/>
          <w:szCs w:val="24"/>
        </w:rPr>
        <w:t>中标人应该在中标通知书规定的时间、地点与招标人签订采购合同，否则按照开标后撤回投标处理。</w:t>
      </w:r>
    </w:p>
    <w:p w14:paraId="1F6A9384">
      <w:pPr>
        <w:numPr>
          <w:ilvl w:val="0"/>
          <w:numId w:val="30"/>
        </w:numPr>
        <w:adjustRightInd w:val="0"/>
        <w:snapToGrid w:val="0"/>
        <w:spacing w:line="360" w:lineRule="auto"/>
        <w:jc w:val="left"/>
        <w:rPr>
          <w:rFonts w:ascii="宋体" w:hAnsi="宋体" w:cs="宋体"/>
          <w:sz w:val="24"/>
          <w:szCs w:val="24"/>
        </w:rPr>
      </w:pPr>
      <w:r>
        <w:rPr>
          <w:rFonts w:hint="eastAsia" w:ascii="宋体" w:hAnsi="宋体" w:cs="宋体"/>
          <w:color w:val="000000"/>
          <w:sz w:val="24"/>
          <w:szCs w:val="24"/>
        </w:rPr>
        <w:t>中标人应当按照合同约定的履约责任，在保证质量的前提下完成中标项目，不得将中标项目转包或分包给他人，否则视为违约，招标人有权解除合同。</w:t>
      </w:r>
    </w:p>
    <w:p w14:paraId="0B8081CA">
      <w:pPr>
        <w:numPr>
          <w:ilvl w:val="0"/>
          <w:numId w:val="30"/>
        </w:numPr>
        <w:adjustRightInd w:val="0"/>
        <w:snapToGrid w:val="0"/>
        <w:spacing w:line="360" w:lineRule="auto"/>
        <w:jc w:val="left"/>
        <w:rPr>
          <w:rFonts w:ascii="宋体" w:hAnsi="宋体" w:cs="宋体"/>
          <w:bCs/>
          <w:color w:val="000000"/>
          <w:sz w:val="24"/>
          <w:szCs w:val="24"/>
        </w:rPr>
      </w:pPr>
      <w:r>
        <w:rPr>
          <w:rFonts w:hint="eastAsia" w:ascii="宋体" w:hAnsi="宋体" w:cs="宋体"/>
          <w:bCs/>
          <w:sz w:val="24"/>
          <w:szCs w:val="24"/>
        </w:rPr>
        <w:t>中标人由于履行义务的能力或信用有严重缺陷，招标人有权取消其中标资格，招标人将从中标候选单位中依序重新确定中标人，或重新组织招标。</w:t>
      </w:r>
    </w:p>
    <w:p w14:paraId="3BBF2D2C">
      <w:pPr>
        <w:numPr>
          <w:ilvl w:val="0"/>
          <w:numId w:val="30"/>
        </w:numPr>
        <w:adjustRightInd w:val="0"/>
        <w:snapToGrid w:val="0"/>
        <w:spacing w:line="360" w:lineRule="auto"/>
        <w:jc w:val="left"/>
        <w:rPr>
          <w:rFonts w:ascii="宋体" w:hAnsi="宋体" w:cs="宋体"/>
          <w:bCs/>
          <w:color w:val="000000"/>
          <w:sz w:val="24"/>
          <w:szCs w:val="24"/>
        </w:rPr>
      </w:pPr>
      <w:r>
        <w:rPr>
          <w:rFonts w:hint="eastAsia" w:ascii="宋体" w:hAnsi="宋体" w:cs="宋体"/>
          <w:bCs/>
          <w:sz w:val="24"/>
          <w:szCs w:val="24"/>
        </w:rPr>
        <w:t>招标人有权指定招标人的关联单位作为合同签订人，与中标人签署相关合同，且具体权利义务以中标人与招标人的关联公司最终签署的合同为准；</w:t>
      </w:r>
    </w:p>
    <w:p w14:paraId="03119FBB">
      <w:pPr>
        <w:numPr>
          <w:ilvl w:val="0"/>
          <w:numId w:val="30"/>
        </w:numPr>
        <w:adjustRightInd w:val="0"/>
        <w:snapToGrid w:val="0"/>
        <w:spacing w:line="360" w:lineRule="auto"/>
        <w:jc w:val="left"/>
        <w:rPr>
          <w:rFonts w:ascii="宋体" w:hAnsi="宋体" w:cs="宋体"/>
          <w:bCs/>
          <w:color w:val="000000"/>
          <w:sz w:val="24"/>
          <w:szCs w:val="24"/>
        </w:rPr>
      </w:pPr>
      <w:r>
        <w:rPr>
          <w:rFonts w:hint="eastAsia" w:ascii="宋体" w:hAnsi="宋体" w:cs="宋体"/>
          <w:bCs/>
          <w:sz w:val="24"/>
          <w:szCs w:val="24"/>
        </w:rPr>
        <w:t>合同以双方最终签署的版本为准。</w:t>
      </w:r>
    </w:p>
    <w:p w14:paraId="4A46D7ED">
      <w:pPr>
        <w:pStyle w:val="72"/>
        <w:adjustRightInd w:val="0"/>
        <w:snapToGrid w:val="0"/>
        <w:ind w:left="0" w:firstLine="0"/>
        <w:jc w:val="left"/>
        <w:outlineLvl w:val="9"/>
        <w:rPr>
          <w:rFonts w:ascii="宋体" w:hAnsi="宋体" w:eastAsia="宋体"/>
          <w:sz w:val="24"/>
          <w:szCs w:val="24"/>
        </w:rPr>
      </w:pPr>
      <w:r>
        <w:rPr>
          <w:rFonts w:hint="eastAsia" w:ascii="宋体" w:hAnsi="宋体" w:eastAsia="宋体"/>
          <w:sz w:val="24"/>
          <w:szCs w:val="24"/>
        </w:rPr>
        <w:t>付款</w:t>
      </w:r>
    </w:p>
    <w:p w14:paraId="35D9F1B0">
      <w:pPr>
        <w:pStyle w:val="76"/>
        <w:numPr>
          <w:ilvl w:val="0"/>
          <w:numId w:val="31"/>
        </w:numPr>
        <w:adjustRightInd w:val="0"/>
        <w:snapToGrid w:val="0"/>
        <w:rPr>
          <w:rFonts w:hAnsi="宋体"/>
          <w:bCs/>
          <w:sz w:val="24"/>
          <w:szCs w:val="24"/>
          <w:u w:val="single"/>
        </w:rPr>
      </w:pPr>
      <w:r>
        <w:rPr>
          <w:rFonts w:hint="eastAsia" w:hAnsi="宋体"/>
          <w:sz w:val="24"/>
          <w:szCs w:val="24"/>
        </w:rPr>
        <w:t>付款方式：银</w:t>
      </w:r>
      <w:r>
        <w:rPr>
          <w:rFonts w:hint="eastAsia" w:hAnsi="宋体"/>
          <w:sz w:val="24"/>
          <w:szCs w:val="24"/>
          <w:u w:val="none"/>
        </w:rPr>
        <w:t>行转账</w:t>
      </w:r>
      <w:r>
        <w:rPr>
          <w:rFonts w:hint="eastAsia" w:hAnsi="宋体"/>
          <w:bCs/>
          <w:sz w:val="24"/>
          <w:szCs w:val="24"/>
          <w:u w:val="none"/>
        </w:rPr>
        <w:t>；</w:t>
      </w:r>
    </w:p>
    <w:p w14:paraId="26A06137">
      <w:pPr>
        <w:pStyle w:val="76"/>
        <w:numPr>
          <w:ilvl w:val="0"/>
          <w:numId w:val="31"/>
        </w:numPr>
        <w:adjustRightInd w:val="0"/>
        <w:snapToGrid w:val="0"/>
        <w:rPr>
          <w:rFonts w:hAnsi="宋体"/>
          <w:sz w:val="24"/>
          <w:szCs w:val="24"/>
        </w:rPr>
      </w:pPr>
      <w:r>
        <w:rPr>
          <w:rFonts w:hint="eastAsia" w:hAnsi="宋体"/>
          <w:sz w:val="24"/>
          <w:szCs w:val="24"/>
        </w:rPr>
        <w:t>付款节点：</w:t>
      </w:r>
      <w:r>
        <w:rPr>
          <w:rFonts w:hint="eastAsia" w:hAnsi="宋体"/>
          <w:sz w:val="24"/>
          <w:szCs w:val="24"/>
          <w:lang w:val="en-US" w:eastAsia="zh-CN"/>
        </w:rPr>
        <w:t>按月结算，</w:t>
      </w:r>
      <w:r>
        <w:rPr>
          <w:rFonts w:hint="eastAsia" w:hAnsi="宋体"/>
          <w:sz w:val="24"/>
          <w:szCs w:val="24"/>
        </w:rPr>
        <w:t>中标</w:t>
      </w:r>
      <w:r>
        <w:rPr>
          <w:rFonts w:hint="eastAsia" w:hAnsi="宋体"/>
          <w:sz w:val="24"/>
          <w:szCs w:val="24"/>
          <w:lang w:val="en-US" w:eastAsia="zh-CN"/>
        </w:rPr>
        <w:t>方</w:t>
      </w:r>
      <w:r>
        <w:rPr>
          <w:rFonts w:hint="eastAsia" w:hAnsi="宋体"/>
          <w:sz w:val="24"/>
          <w:szCs w:val="24"/>
        </w:rPr>
        <w:t>完成委托的电机设备外委维修，次月招标人组织验收，验收合格后通知中标</w:t>
      </w:r>
      <w:r>
        <w:rPr>
          <w:rFonts w:hint="eastAsia" w:hAnsi="宋体"/>
          <w:sz w:val="24"/>
          <w:szCs w:val="24"/>
          <w:lang w:val="en-US" w:eastAsia="zh-CN"/>
        </w:rPr>
        <w:t>方</w:t>
      </w:r>
      <w:r>
        <w:rPr>
          <w:rFonts w:hint="eastAsia" w:hAnsi="宋体"/>
          <w:sz w:val="24"/>
          <w:szCs w:val="24"/>
        </w:rPr>
        <w:t>开具</w:t>
      </w:r>
      <w:r>
        <w:rPr>
          <w:rFonts w:hint="eastAsia" w:hAnsi="宋体"/>
          <w:sz w:val="24"/>
          <w:szCs w:val="24"/>
          <w:lang w:val="en-US" w:eastAsia="zh-CN"/>
        </w:rPr>
        <w:t>合同总金额的</w:t>
      </w:r>
      <w:r>
        <w:rPr>
          <w:rFonts w:hint="eastAsia" w:hAnsi="宋体"/>
          <w:sz w:val="24"/>
          <w:szCs w:val="24"/>
        </w:rPr>
        <w:t>增值税专用发票到招标人财务挂账，挂账后次月</w:t>
      </w:r>
      <w:r>
        <w:rPr>
          <w:rFonts w:hint="eastAsia" w:hAnsi="宋体"/>
          <w:sz w:val="24"/>
          <w:szCs w:val="24"/>
          <w:lang w:val="en-US" w:eastAsia="zh-CN"/>
        </w:rPr>
        <w:t>付款</w:t>
      </w:r>
      <w:r>
        <w:rPr>
          <w:rFonts w:hint="eastAsia" w:hAnsi="宋体"/>
          <w:sz w:val="24"/>
          <w:szCs w:val="24"/>
        </w:rPr>
        <w:t>。</w:t>
      </w:r>
    </w:p>
    <w:p w14:paraId="4C9AB7F4">
      <w:pPr>
        <w:pStyle w:val="76"/>
        <w:adjustRightInd w:val="0"/>
        <w:snapToGrid w:val="0"/>
        <w:rPr>
          <w:rFonts w:hAnsi="宋体"/>
          <w:b/>
          <w:bCs/>
          <w:sz w:val="24"/>
          <w:szCs w:val="24"/>
        </w:rPr>
      </w:pPr>
      <w:r>
        <w:rPr>
          <w:rFonts w:hint="eastAsia" w:hAnsi="宋体"/>
          <w:b/>
          <w:bCs/>
          <w:sz w:val="24"/>
          <w:szCs w:val="24"/>
        </w:rPr>
        <w:t>付款方式及节点不允许偏离。</w:t>
      </w:r>
    </w:p>
    <w:p w14:paraId="1552DECA">
      <w:pPr>
        <w:pStyle w:val="72"/>
        <w:adjustRightInd w:val="0"/>
        <w:snapToGrid w:val="0"/>
        <w:ind w:left="0" w:firstLine="0"/>
        <w:jc w:val="left"/>
        <w:outlineLvl w:val="9"/>
        <w:rPr>
          <w:rFonts w:hAnsi="宋体"/>
          <w:sz w:val="24"/>
          <w:szCs w:val="24"/>
        </w:rPr>
      </w:pPr>
      <w:r>
        <w:rPr>
          <w:rFonts w:hint="eastAsia" w:ascii="宋体" w:hAnsi="宋体" w:eastAsia="宋体"/>
          <w:sz w:val="24"/>
          <w:szCs w:val="24"/>
        </w:rPr>
        <w:t>本次招标最终解释权归重汽（重庆）轻型汽车有限公司。</w:t>
      </w:r>
      <w:bookmarkStart w:id="11" w:name="_Toc47976607"/>
    </w:p>
    <w:p w14:paraId="2CCBB744">
      <w:pPr>
        <w:widowControl/>
        <w:adjustRightInd w:val="0"/>
        <w:snapToGrid w:val="0"/>
        <w:spacing w:line="360" w:lineRule="auto"/>
        <w:jc w:val="left"/>
        <w:rPr>
          <w:rFonts w:ascii="宋体" w:hAnsi="宋体"/>
          <w:b/>
          <w:bCs/>
          <w:sz w:val="24"/>
          <w:szCs w:val="24"/>
        </w:rPr>
      </w:pPr>
      <w:bookmarkStart w:id="12" w:name="_Toc16839"/>
      <w:r>
        <w:rPr>
          <w:rFonts w:ascii="宋体" w:hAnsi="宋体"/>
          <w:sz w:val="24"/>
          <w:szCs w:val="24"/>
        </w:rPr>
        <w:br w:type="page"/>
      </w:r>
    </w:p>
    <w:p w14:paraId="0ED5FD35">
      <w:pPr>
        <w:pStyle w:val="71"/>
        <w:adjustRightInd w:val="0"/>
        <w:snapToGrid w:val="0"/>
        <w:outlineLvl w:val="9"/>
        <w:rPr>
          <w:rFonts w:ascii="宋体" w:hAnsi="宋体" w:eastAsia="宋体"/>
          <w:sz w:val="24"/>
          <w:szCs w:val="24"/>
        </w:rPr>
      </w:pPr>
      <w:r>
        <w:rPr>
          <w:rFonts w:hint="eastAsia" w:ascii="宋体" w:hAnsi="宋体" w:eastAsia="宋体"/>
          <w:sz w:val="24"/>
          <w:szCs w:val="24"/>
        </w:rPr>
        <w:t>第二部分　</w:t>
      </w:r>
      <w:bookmarkEnd w:id="11"/>
      <w:r>
        <w:rPr>
          <w:rFonts w:hint="eastAsia" w:ascii="宋体" w:hAnsi="宋体" w:eastAsia="宋体"/>
          <w:sz w:val="24"/>
          <w:szCs w:val="24"/>
        </w:rPr>
        <w:t>技术标书</w:t>
      </w:r>
      <w:bookmarkEnd w:id="12"/>
    </w:p>
    <w:p w14:paraId="3FE1D934">
      <w:pPr>
        <w:pStyle w:val="6"/>
        <w:spacing w:before="0" w:after="0" w:line="240" w:lineRule="atLeast"/>
        <w:jc w:val="center"/>
        <w:rPr>
          <w:rFonts w:hint="eastAsia" w:ascii="楷体_GB2312" w:eastAsia="楷体_GB2312"/>
          <w:sz w:val="40"/>
          <w:szCs w:val="36"/>
          <w:lang w:val="en-US" w:eastAsia="zh-CN"/>
        </w:rPr>
      </w:pPr>
      <w:r>
        <w:rPr>
          <w:rFonts w:hint="eastAsia" w:ascii="楷体_GB2312" w:hAnsi="Times New Roman" w:eastAsia="楷体_GB2312" w:cs="Times New Roman"/>
          <w:sz w:val="40"/>
          <w:szCs w:val="36"/>
          <w:lang w:val="en-US" w:eastAsia="zh-CN"/>
        </w:rPr>
        <w:t>电机年度外委维修项目技术要</w:t>
      </w:r>
      <w:r>
        <w:rPr>
          <w:rFonts w:hint="eastAsia" w:ascii="楷体_GB2312" w:eastAsia="楷体_GB2312"/>
          <w:sz w:val="40"/>
          <w:szCs w:val="36"/>
          <w:lang w:val="en-US" w:eastAsia="zh-CN"/>
        </w:rPr>
        <w:t>求</w:t>
      </w:r>
    </w:p>
    <w:p w14:paraId="6A2B0E81">
      <w:pPr>
        <w:rPr>
          <w:rFonts w:hint="default" w:ascii="宋体" w:hAnsi="宋体" w:eastAsia="宋体" w:cs="Times New Roman"/>
          <w:kern w:val="2"/>
          <w:sz w:val="24"/>
          <w:szCs w:val="24"/>
          <w:lang w:val="en-US" w:eastAsia="zh-CN" w:bidi="ar-SA"/>
        </w:rPr>
      </w:pPr>
    </w:p>
    <w:p w14:paraId="29F3E904">
      <w:pPr>
        <w:pStyle w:val="13"/>
        <w:spacing w:line="240" w:lineRule="auto"/>
        <w:ind w:firstLine="480" w:firstLineChars="200"/>
        <w:rPr>
          <w:rFonts w:hint="default" w:ascii="宋体" w:hAnsi="宋体" w:eastAsia="宋体" w:cs="Times New Roman"/>
          <w:kern w:val="2"/>
          <w:sz w:val="24"/>
          <w:szCs w:val="24"/>
          <w:lang w:val="en-US" w:eastAsia="zh-CN" w:bidi="ar-SA"/>
        </w:rPr>
      </w:pPr>
      <w:r>
        <w:rPr>
          <w:rFonts w:hint="eastAsia" w:ascii="宋体" w:hAnsi="宋体" w:eastAsia="宋体" w:cs="Times New Roman"/>
          <w:kern w:val="2"/>
          <w:sz w:val="24"/>
          <w:szCs w:val="24"/>
          <w:lang w:val="en-US" w:eastAsia="zh-CN" w:bidi="ar-SA"/>
        </w:rPr>
        <w:t>我公司电机品牌和规格较多，经常出现电机故障，为提高电机维修效率，通过签定开口维修合同的方式，实现快速修复电机的目的。</w:t>
      </w:r>
    </w:p>
    <w:p w14:paraId="6A552DE0">
      <w:pPr>
        <w:pStyle w:val="72"/>
        <w:numPr>
          <w:ilvl w:val="0"/>
          <w:numId w:val="0"/>
        </w:numPr>
        <w:adjustRightInd w:val="0"/>
        <w:snapToGrid w:val="0"/>
        <w:ind w:leftChars="0"/>
        <w:jc w:val="left"/>
        <w:outlineLvl w:val="9"/>
        <w:rPr>
          <w:rFonts w:hint="eastAsia" w:ascii="宋体" w:hAnsi="宋体" w:eastAsia="宋体" w:cs="Times New Roman"/>
          <w:sz w:val="24"/>
          <w:szCs w:val="24"/>
          <w:lang w:val="en-US" w:eastAsia="zh-CN"/>
        </w:rPr>
      </w:pPr>
      <w:r>
        <w:rPr>
          <w:rFonts w:hint="eastAsia" w:ascii="宋体" w:hAnsi="宋体" w:eastAsia="宋体" w:cs="Times New Roman"/>
          <w:b/>
          <w:bCs/>
          <w:kern w:val="2"/>
          <w:sz w:val="24"/>
          <w:szCs w:val="24"/>
          <w:lang w:val="en-US" w:eastAsia="zh-CN" w:bidi="ar-SA"/>
        </w:rPr>
        <w:t>1.</w:t>
      </w:r>
      <w:r>
        <w:rPr>
          <w:rFonts w:hint="eastAsia" w:ascii="宋体" w:hAnsi="宋体" w:eastAsia="宋体" w:cs="Times New Roman"/>
          <w:sz w:val="24"/>
          <w:szCs w:val="24"/>
          <w:lang w:val="en-US" w:eastAsia="zh-CN"/>
        </w:rPr>
        <w:t>范围</w:t>
      </w:r>
    </w:p>
    <w:p w14:paraId="795A1602">
      <w:pPr>
        <w:pStyle w:val="72"/>
        <w:numPr>
          <w:ilvl w:val="0"/>
          <w:numId w:val="0"/>
        </w:numPr>
        <w:adjustRightInd w:val="0"/>
        <w:snapToGrid w:val="0"/>
        <w:ind w:firstLine="720" w:firstLineChars="300"/>
        <w:jc w:val="left"/>
        <w:outlineLvl w:val="9"/>
        <w:rPr>
          <w:rFonts w:hint="eastAsia" w:ascii="宋体" w:hAnsi="宋体" w:eastAsia="宋体" w:cs="Times New Roman"/>
          <w:b w:val="0"/>
          <w:bCs w:val="0"/>
          <w:kern w:val="2"/>
          <w:sz w:val="24"/>
          <w:szCs w:val="24"/>
          <w:lang w:val="en-US" w:eastAsia="zh-CN" w:bidi="ar-SA"/>
        </w:rPr>
      </w:pPr>
      <w:r>
        <w:rPr>
          <w:rFonts w:hint="eastAsia" w:ascii="宋体" w:hAnsi="宋体" w:eastAsia="宋体" w:cs="Times New Roman"/>
          <w:b w:val="0"/>
          <w:bCs w:val="0"/>
          <w:kern w:val="2"/>
          <w:sz w:val="24"/>
          <w:szCs w:val="24"/>
          <w:lang w:val="en-US" w:eastAsia="zh-CN" w:bidi="ar-SA"/>
        </w:rPr>
        <w:t>按维修报价表进行报价。</w:t>
      </w:r>
    </w:p>
    <w:p w14:paraId="42486A82">
      <w:pPr>
        <w:pStyle w:val="72"/>
        <w:numPr>
          <w:ilvl w:val="0"/>
          <w:numId w:val="0"/>
        </w:numPr>
        <w:adjustRightInd w:val="0"/>
        <w:snapToGrid w:val="0"/>
        <w:ind w:leftChars="0"/>
        <w:jc w:val="left"/>
        <w:outlineLvl w:val="9"/>
        <w:rPr>
          <w:rFonts w:hint="eastAsia" w:ascii="宋体" w:hAnsi="宋体" w:eastAsia="宋体" w:cs="Times New Roman"/>
          <w:b/>
          <w:bCs/>
          <w:kern w:val="2"/>
          <w:sz w:val="24"/>
          <w:szCs w:val="24"/>
          <w:lang w:val="en-US" w:eastAsia="zh-CN" w:bidi="ar-SA"/>
        </w:rPr>
      </w:pPr>
      <w:r>
        <w:rPr>
          <w:rFonts w:hint="eastAsia" w:ascii="宋体" w:hAnsi="宋体" w:eastAsia="宋体" w:cs="Times New Roman"/>
          <w:b/>
          <w:bCs/>
          <w:kern w:val="2"/>
          <w:sz w:val="24"/>
          <w:szCs w:val="24"/>
          <w:lang w:val="en-US" w:eastAsia="zh-CN" w:bidi="ar-SA"/>
        </w:rPr>
        <w:t>2．维修服务</w:t>
      </w:r>
    </w:p>
    <w:p w14:paraId="4BD9E4BB">
      <w:pPr>
        <w:pStyle w:val="76"/>
        <w:numPr>
          <w:ilvl w:val="0"/>
          <w:numId w:val="0"/>
        </w:numPr>
        <w:adjustRightInd w:val="0"/>
        <w:snapToGrid w:val="0"/>
        <w:ind w:leftChars="0"/>
        <w:rPr>
          <w:rFonts w:hint="eastAsia" w:hAnsi="宋体" w:cs="Times New Roman"/>
          <w:sz w:val="24"/>
          <w:szCs w:val="24"/>
          <w:lang w:val="en-US" w:eastAsia="zh-CN"/>
        </w:rPr>
      </w:pPr>
      <w:r>
        <w:rPr>
          <w:rFonts w:hint="eastAsia" w:hAnsi="宋体" w:cs="Times New Roman"/>
          <w:sz w:val="24"/>
          <w:szCs w:val="24"/>
          <w:lang w:val="en-US" w:eastAsia="zh-CN"/>
        </w:rPr>
        <w:t>2.1当维修业务发生时，供方应在接到需方通知后6小时内到需方现场取回维修品，修复时间根据电机复杂和严重性而定1-5个工作日。</w:t>
      </w:r>
    </w:p>
    <w:p w14:paraId="51006885">
      <w:pPr>
        <w:pStyle w:val="76"/>
        <w:numPr>
          <w:ilvl w:val="0"/>
          <w:numId w:val="0"/>
        </w:numPr>
        <w:adjustRightInd w:val="0"/>
        <w:snapToGrid w:val="0"/>
        <w:ind w:leftChars="0"/>
        <w:rPr>
          <w:rFonts w:hint="eastAsia" w:hAnsi="宋体" w:cs="Times New Roman"/>
          <w:sz w:val="24"/>
          <w:szCs w:val="24"/>
          <w:lang w:val="en-US" w:eastAsia="zh-CN"/>
        </w:rPr>
      </w:pPr>
      <w:r>
        <w:rPr>
          <w:rFonts w:hint="eastAsia" w:hAnsi="宋体" w:cs="Times New Roman"/>
          <w:sz w:val="24"/>
          <w:szCs w:val="24"/>
          <w:lang w:val="en-US" w:eastAsia="zh-CN"/>
        </w:rPr>
        <w:t>2.2旧线圈折算至成本内，在报价中需要明确。</w:t>
      </w:r>
    </w:p>
    <w:p w14:paraId="601782F0">
      <w:pPr>
        <w:pStyle w:val="76"/>
        <w:numPr>
          <w:ilvl w:val="0"/>
          <w:numId w:val="0"/>
        </w:numPr>
        <w:adjustRightInd w:val="0"/>
        <w:snapToGrid w:val="0"/>
        <w:ind w:leftChars="0"/>
        <w:rPr>
          <w:rFonts w:hint="eastAsia" w:hAnsi="宋体" w:cs="Times New Roman"/>
          <w:sz w:val="24"/>
          <w:szCs w:val="24"/>
          <w:lang w:val="en-US" w:eastAsia="zh-CN"/>
        </w:rPr>
      </w:pPr>
      <w:r>
        <w:rPr>
          <w:rFonts w:hint="eastAsia" w:hAnsi="宋体" w:cs="Times New Roman"/>
          <w:sz w:val="24"/>
          <w:szCs w:val="24"/>
          <w:lang w:val="en-US" w:eastAsia="zh-CN"/>
        </w:rPr>
        <w:t>2.3 当维修品不能维修时，供方不收取任何运费、检测费、维修费、配件费等。</w:t>
      </w:r>
    </w:p>
    <w:p w14:paraId="2318C515">
      <w:pPr>
        <w:pStyle w:val="76"/>
        <w:numPr>
          <w:ilvl w:val="0"/>
          <w:numId w:val="0"/>
        </w:numPr>
        <w:adjustRightInd w:val="0"/>
        <w:snapToGrid w:val="0"/>
        <w:ind w:leftChars="0"/>
        <w:rPr>
          <w:rFonts w:hint="eastAsia" w:hAnsi="宋体" w:cs="Times New Roman"/>
          <w:sz w:val="24"/>
          <w:szCs w:val="24"/>
          <w:lang w:val="en-US" w:eastAsia="zh-CN"/>
        </w:rPr>
      </w:pPr>
      <w:r>
        <w:rPr>
          <w:rFonts w:hint="eastAsia" w:hAnsi="宋体" w:cs="Times New Roman"/>
          <w:sz w:val="24"/>
          <w:szCs w:val="24"/>
          <w:lang w:val="en-US" w:eastAsia="zh-CN"/>
        </w:rPr>
        <w:t>2.4 供方提供24小时维修品紧急维修服务。</w:t>
      </w:r>
    </w:p>
    <w:p w14:paraId="482B5763">
      <w:pPr>
        <w:pStyle w:val="76"/>
        <w:numPr>
          <w:ilvl w:val="0"/>
          <w:numId w:val="0"/>
        </w:numPr>
        <w:adjustRightInd w:val="0"/>
        <w:snapToGrid w:val="0"/>
        <w:ind w:leftChars="0"/>
        <w:rPr>
          <w:rFonts w:hint="eastAsia" w:hAnsi="宋体" w:cs="Times New Roman"/>
          <w:sz w:val="24"/>
          <w:szCs w:val="24"/>
          <w:lang w:val="en-US" w:eastAsia="zh-CN"/>
        </w:rPr>
      </w:pPr>
      <w:r>
        <w:rPr>
          <w:rFonts w:hint="eastAsia" w:hAnsi="宋体" w:cs="Times New Roman"/>
          <w:sz w:val="24"/>
          <w:szCs w:val="24"/>
          <w:lang w:val="en-US" w:eastAsia="zh-CN"/>
        </w:rPr>
        <w:t>2.5 供方完成维修后，需进行检测试运行，保证维修品修好后测试运行无问题再交给需方。</w:t>
      </w:r>
    </w:p>
    <w:p w14:paraId="62EF4C0C">
      <w:pPr>
        <w:pStyle w:val="72"/>
        <w:numPr>
          <w:ilvl w:val="0"/>
          <w:numId w:val="0"/>
        </w:numPr>
        <w:adjustRightInd w:val="0"/>
        <w:snapToGrid w:val="0"/>
        <w:ind w:leftChars="0"/>
        <w:jc w:val="left"/>
        <w:outlineLvl w:val="9"/>
        <w:rPr>
          <w:rFonts w:hint="eastAsia" w:ascii="宋体" w:hAnsi="宋体" w:eastAsia="宋体" w:cs="Times New Roman"/>
          <w:b/>
          <w:bCs/>
          <w:kern w:val="2"/>
          <w:sz w:val="24"/>
          <w:szCs w:val="24"/>
          <w:lang w:val="en-US" w:eastAsia="zh-CN" w:bidi="ar-SA"/>
        </w:rPr>
      </w:pPr>
      <w:r>
        <w:rPr>
          <w:rFonts w:hint="eastAsia" w:ascii="宋体" w:hAnsi="宋体" w:eastAsia="宋体" w:cs="Times New Roman"/>
          <w:b/>
          <w:bCs/>
          <w:kern w:val="2"/>
          <w:sz w:val="24"/>
          <w:szCs w:val="24"/>
          <w:lang w:val="en-US" w:eastAsia="zh-CN" w:bidi="ar-SA"/>
        </w:rPr>
        <w:t>3．质量保证期</w:t>
      </w:r>
    </w:p>
    <w:p w14:paraId="217EEE70">
      <w:pPr>
        <w:pStyle w:val="76"/>
        <w:numPr>
          <w:ilvl w:val="0"/>
          <w:numId w:val="0"/>
        </w:numPr>
        <w:adjustRightInd w:val="0"/>
        <w:snapToGrid w:val="0"/>
        <w:ind w:leftChars="0"/>
        <w:rPr>
          <w:rFonts w:hint="eastAsia" w:hAnsi="宋体" w:cs="Times New Roman"/>
          <w:sz w:val="24"/>
          <w:szCs w:val="24"/>
          <w:lang w:val="en-US" w:eastAsia="zh-CN"/>
        </w:rPr>
      </w:pPr>
      <w:r>
        <w:rPr>
          <w:rFonts w:hint="eastAsia" w:hAnsi="宋体" w:cs="Times New Roman"/>
          <w:sz w:val="24"/>
          <w:szCs w:val="24"/>
          <w:lang w:val="en-US" w:eastAsia="zh-CN"/>
        </w:rPr>
        <w:t>3.1质量保证期限为最终验收报告签署之日（以签署日期最晚者为准）起六个月。</w:t>
      </w:r>
    </w:p>
    <w:p w14:paraId="033ED08A">
      <w:pPr>
        <w:pStyle w:val="76"/>
        <w:numPr>
          <w:ilvl w:val="0"/>
          <w:numId w:val="0"/>
        </w:numPr>
        <w:adjustRightInd w:val="0"/>
        <w:snapToGrid w:val="0"/>
        <w:ind w:leftChars="0"/>
        <w:rPr>
          <w:rFonts w:hint="eastAsia" w:hAnsi="宋体" w:cs="Times New Roman"/>
          <w:sz w:val="24"/>
          <w:szCs w:val="24"/>
          <w:lang w:val="en-US" w:eastAsia="zh-CN"/>
        </w:rPr>
      </w:pPr>
      <w:r>
        <w:rPr>
          <w:rFonts w:hint="eastAsia" w:hAnsi="宋体" w:cs="Times New Roman"/>
          <w:sz w:val="24"/>
          <w:szCs w:val="24"/>
          <w:lang w:val="en-US" w:eastAsia="zh-CN"/>
        </w:rPr>
        <w:t>3.2若在质量保证期内该设备出现质量问题，乙方须应根据甲方的要求在 2 小时内答复或24 小时内派员现场服务，费用由乙方承担。甲方有权从质量保证金中扣除相应费用，若质量保证金不足以补偿甲方因此所受到的损失，乙方须向甲方赔偿差额部分。质量保证期在重新维修验收合格后延长半年。</w:t>
      </w:r>
    </w:p>
    <w:p w14:paraId="3D849D0F">
      <w:pPr>
        <w:pStyle w:val="76"/>
        <w:numPr>
          <w:ilvl w:val="0"/>
          <w:numId w:val="0"/>
        </w:numPr>
        <w:adjustRightInd w:val="0"/>
        <w:snapToGrid w:val="0"/>
        <w:ind w:leftChars="0"/>
        <w:rPr>
          <w:rFonts w:hint="eastAsia" w:hAnsi="宋体" w:cs="Times New Roman"/>
          <w:sz w:val="24"/>
          <w:szCs w:val="24"/>
          <w:lang w:val="en-US" w:eastAsia="zh-CN"/>
        </w:rPr>
      </w:pPr>
      <w:r>
        <w:rPr>
          <w:rFonts w:hint="eastAsia" w:hAnsi="宋体" w:cs="Times New Roman"/>
          <w:sz w:val="24"/>
          <w:szCs w:val="24"/>
          <w:lang w:val="en-US" w:eastAsia="zh-CN"/>
        </w:rPr>
        <w:t>3.3如果乙方不能满足质量要求而被委托责令返工超过两次，甲方有权终止本合同，乙方承担违约责任。</w:t>
      </w:r>
    </w:p>
    <w:p w14:paraId="7F98BA01">
      <w:pPr>
        <w:ind w:left="480" w:hanging="482" w:hangingChars="200"/>
        <w:rPr>
          <w:rFonts w:hint="eastAsia" w:ascii="宋体" w:hAnsi="宋体" w:eastAsia="宋体" w:cs="Times New Roman"/>
          <w:b/>
          <w:bCs/>
          <w:kern w:val="2"/>
          <w:sz w:val="24"/>
          <w:szCs w:val="24"/>
          <w:lang w:val="en-US" w:eastAsia="zh-CN" w:bidi="ar-SA"/>
        </w:rPr>
      </w:pPr>
      <w:r>
        <w:rPr>
          <w:rFonts w:hint="eastAsia" w:ascii="宋体" w:hAnsi="宋体" w:eastAsia="宋体" w:cs="Times New Roman"/>
          <w:b/>
          <w:bCs/>
          <w:kern w:val="2"/>
          <w:sz w:val="24"/>
          <w:szCs w:val="24"/>
          <w:lang w:val="en-US" w:eastAsia="zh-CN" w:bidi="ar-SA"/>
        </w:rPr>
        <w:t>4．货物运输</w:t>
      </w:r>
    </w:p>
    <w:p w14:paraId="70BA77FB">
      <w:pPr>
        <w:pStyle w:val="76"/>
        <w:numPr>
          <w:ilvl w:val="0"/>
          <w:numId w:val="0"/>
        </w:numPr>
        <w:adjustRightInd w:val="0"/>
        <w:snapToGrid w:val="0"/>
        <w:ind w:leftChars="0"/>
        <w:rPr>
          <w:rFonts w:hint="eastAsia" w:hAnsi="宋体" w:cs="Times New Roman"/>
          <w:sz w:val="24"/>
          <w:szCs w:val="24"/>
          <w:lang w:val="en-US" w:eastAsia="zh-CN"/>
        </w:rPr>
      </w:pPr>
      <w:r>
        <w:rPr>
          <w:rFonts w:hint="eastAsia" w:hAnsi="宋体" w:cs="Times New Roman"/>
          <w:sz w:val="24"/>
          <w:szCs w:val="24"/>
          <w:lang w:val="en-US" w:eastAsia="zh-CN"/>
        </w:rPr>
        <w:t>4.1 由供方免费取送货，如果选择快递运输，来回运费均由供方负责。</w:t>
      </w:r>
    </w:p>
    <w:p w14:paraId="63C7A6D9">
      <w:pPr>
        <w:pStyle w:val="76"/>
        <w:numPr>
          <w:ilvl w:val="0"/>
          <w:numId w:val="0"/>
        </w:numPr>
        <w:adjustRightInd w:val="0"/>
        <w:snapToGrid w:val="0"/>
        <w:ind w:leftChars="0"/>
        <w:rPr>
          <w:rFonts w:hint="eastAsia" w:hAnsi="宋体" w:cs="Times New Roman"/>
          <w:sz w:val="24"/>
          <w:szCs w:val="24"/>
          <w:lang w:val="en-US" w:eastAsia="zh-CN"/>
        </w:rPr>
      </w:pPr>
      <w:r>
        <w:rPr>
          <w:rFonts w:hint="eastAsia" w:hAnsi="宋体" w:cs="Times New Roman"/>
          <w:sz w:val="24"/>
          <w:szCs w:val="24"/>
          <w:lang w:val="en-US" w:eastAsia="zh-CN"/>
        </w:rPr>
        <w:t xml:space="preserve">4.2乙方派送到甲方运取设备人员（以下称“取货人”）需提供乙方法定代表人授权书、取货人身份证复印件，并遵守甲方出入厂的规定。乙方授权的取货人的行为视同乙方的行为，乙方应对该人员的行为承担全部法律责任。 </w:t>
      </w:r>
    </w:p>
    <w:p w14:paraId="243F017D">
      <w:pPr>
        <w:pStyle w:val="76"/>
        <w:numPr>
          <w:ilvl w:val="0"/>
          <w:numId w:val="0"/>
        </w:numPr>
        <w:adjustRightInd w:val="0"/>
        <w:snapToGrid w:val="0"/>
        <w:ind w:leftChars="0"/>
        <w:rPr>
          <w:rFonts w:hint="eastAsia" w:hAnsi="宋体" w:cs="Times New Roman"/>
          <w:sz w:val="24"/>
          <w:szCs w:val="24"/>
          <w:lang w:val="en-US" w:eastAsia="zh-CN"/>
        </w:rPr>
      </w:pPr>
      <w:r>
        <w:rPr>
          <w:rFonts w:hint="eastAsia" w:hAnsi="宋体" w:cs="Times New Roman"/>
          <w:sz w:val="24"/>
          <w:szCs w:val="24"/>
          <w:lang w:val="en-US" w:eastAsia="zh-CN"/>
        </w:rPr>
        <w:t>4.3 乙方现场对设备情况予以确认，有异议及时提出，乙方一旦接收，则视为甲方的设备符合乙方确认的维修状态，并适合运输，以后所发现的设备部件缺失等情况由乙方负责补齐。</w:t>
      </w:r>
    </w:p>
    <w:p w14:paraId="29FE9548">
      <w:pPr>
        <w:pStyle w:val="76"/>
        <w:numPr>
          <w:ilvl w:val="0"/>
          <w:numId w:val="0"/>
        </w:numPr>
        <w:adjustRightInd w:val="0"/>
        <w:snapToGrid w:val="0"/>
        <w:ind w:leftChars="0"/>
        <w:rPr>
          <w:rFonts w:hint="eastAsia" w:ascii="宋体" w:hAnsi="宋体" w:eastAsia="宋体" w:cs="Times New Roman"/>
          <w:b/>
          <w:bCs/>
          <w:kern w:val="2"/>
          <w:sz w:val="24"/>
          <w:szCs w:val="24"/>
          <w:lang w:val="en-US" w:eastAsia="zh-CN" w:bidi="ar-SA"/>
        </w:rPr>
      </w:pPr>
      <w:r>
        <w:rPr>
          <w:rFonts w:hint="eastAsia" w:hAnsi="宋体" w:cs="Times New Roman"/>
          <w:sz w:val="24"/>
          <w:szCs w:val="24"/>
          <w:lang w:val="en-US" w:eastAsia="zh-CN"/>
        </w:rPr>
        <w:t xml:space="preserve">4.4 供方送货时必须提供送货单。乙方运输设备的包装应适于运输，并有良好的防潮、防锈和防野蛮装卸等保护措施，以确保产品在运输过程中不受损伤安全抵运现场。乙方应承担由于其包装、防护不妥而引起的产品锈蚀、损坏、丢失等任何损失的责任和费用。 </w:t>
      </w:r>
    </w:p>
    <w:p w14:paraId="7BA7C1AC">
      <w:pPr>
        <w:ind w:left="480" w:hanging="482" w:hangingChars="200"/>
        <w:rPr>
          <w:rFonts w:hint="eastAsia" w:ascii="宋体" w:hAnsi="宋体" w:eastAsia="宋体" w:cs="Times New Roman"/>
          <w:b/>
          <w:bCs/>
          <w:kern w:val="2"/>
          <w:sz w:val="24"/>
          <w:szCs w:val="24"/>
          <w:lang w:val="en-US" w:eastAsia="zh-CN" w:bidi="ar-SA"/>
        </w:rPr>
      </w:pPr>
      <w:r>
        <w:rPr>
          <w:rFonts w:hint="eastAsia" w:ascii="宋体" w:hAnsi="宋体" w:eastAsia="宋体" w:cs="Times New Roman"/>
          <w:b/>
          <w:bCs/>
          <w:kern w:val="2"/>
          <w:sz w:val="24"/>
          <w:szCs w:val="24"/>
          <w:lang w:val="en-US" w:eastAsia="zh-CN" w:bidi="ar-SA"/>
        </w:rPr>
        <w:t>5. 验收</w:t>
      </w:r>
    </w:p>
    <w:p w14:paraId="42F70BE6">
      <w:pPr>
        <w:pStyle w:val="76"/>
        <w:numPr>
          <w:ilvl w:val="0"/>
          <w:numId w:val="0"/>
        </w:numPr>
        <w:adjustRightInd w:val="0"/>
        <w:snapToGrid w:val="0"/>
        <w:ind w:leftChars="0"/>
        <w:rPr>
          <w:rFonts w:hint="eastAsia" w:hAnsi="宋体" w:cs="Times New Roman"/>
          <w:sz w:val="24"/>
          <w:szCs w:val="24"/>
          <w:lang w:val="en-US" w:eastAsia="zh-CN"/>
        </w:rPr>
      </w:pPr>
      <w:r>
        <w:rPr>
          <w:rFonts w:hint="eastAsia" w:hAnsi="宋体" w:cs="Times New Roman"/>
          <w:sz w:val="24"/>
          <w:szCs w:val="24"/>
          <w:lang w:val="en-US" w:eastAsia="zh-CN"/>
        </w:rPr>
        <w:t>5.1 维修品维修好后交由需方，需方需及时上机测试，经一个月使用验证正常，需方需在一周内验收。</w:t>
      </w:r>
    </w:p>
    <w:p w14:paraId="10CCEDF9">
      <w:pPr>
        <w:pStyle w:val="76"/>
        <w:numPr>
          <w:ilvl w:val="0"/>
          <w:numId w:val="0"/>
        </w:numPr>
        <w:adjustRightInd w:val="0"/>
        <w:snapToGrid w:val="0"/>
        <w:ind w:leftChars="0"/>
        <w:rPr>
          <w:rFonts w:hint="eastAsia" w:hAnsi="宋体" w:cs="Times New Roman"/>
          <w:sz w:val="24"/>
          <w:szCs w:val="24"/>
          <w:lang w:val="en-US" w:eastAsia="zh-CN"/>
        </w:rPr>
      </w:pPr>
      <w:r>
        <w:rPr>
          <w:rFonts w:hint="eastAsia" w:hAnsi="宋体" w:cs="Times New Roman"/>
          <w:sz w:val="24"/>
          <w:szCs w:val="24"/>
          <w:lang w:val="en-US" w:eastAsia="zh-CN"/>
        </w:rPr>
        <w:t xml:space="preserve">5.2维修后的电机必须符合 </w:t>
      </w:r>
      <w:r>
        <w:rPr>
          <w:rFonts w:hint="default" w:hAnsi="宋体" w:cs="Times New Roman"/>
          <w:sz w:val="24"/>
          <w:szCs w:val="24"/>
          <w:lang w:val="en-US" w:eastAsia="zh-CN"/>
        </w:rPr>
        <w:t xml:space="preserve">GB755-2019 </w:t>
      </w:r>
      <w:r>
        <w:rPr>
          <w:rFonts w:hint="eastAsia" w:hAnsi="宋体" w:cs="Times New Roman"/>
          <w:sz w:val="24"/>
          <w:szCs w:val="24"/>
          <w:lang w:val="en-US" w:eastAsia="zh-CN"/>
        </w:rPr>
        <w:t xml:space="preserve">或者 </w:t>
      </w:r>
      <w:r>
        <w:rPr>
          <w:rFonts w:hint="default" w:hAnsi="宋体" w:cs="Times New Roman"/>
          <w:sz w:val="24"/>
          <w:szCs w:val="24"/>
          <w:lang w:val="en-US" w:eastAsia="zh-CN"/>
        </w:rPr>
        <w:t xml:space="preserve">IEC60064-1:2017 </w:t>
      </w:r>
      <w:r>
        <w:rPr>
          <w:rFonts w:hint="eastAsia" w:hAnsi="宋体" w:cs="Times New Roman"/>
          <w:sz w:val="24"/>
          <w:szCs w:val="24"/>
          <w:lang w:val="en-US" w:eastAsia="zh-CN"/>
        </w:rPr>
        <w:t xml:space="preserve">规定要求，验收合格后方可办理入库手续。 </w:t>
      </w:r>
    </w:p>
    <w:p w14:paraId="3D588979">
      <w:pPr>
        <w:pStyle w:val="76"/>
        <w:numPr>
          <w:ilvl w:val="0"/>
          <w:numId w:val="0"/>
        </w:numPr>
        <w:adjustRightInd w:val="0"/>
        <w:snapToGrid w:val="0"/>
        <w:ind w:leftChars="0"/>
        <w:rPr>
          <w:rFonts w:hint="eastAsia" w:hAnsi="宋体" w:cs="Times New Roman"/>
          <w:sz w:val="24"/>
          <w:szCs w:val="24"/>
          <w:lang w:val="en-US" w:eastAsia="zh-CN"/>
        </w:rPr>
      </w:pPr>
      <w:r>
        <w:rPr>
          <w:rFonts w:hint="eastAsia" w:hAnsi="宋体" w:cs="Times New Roman"/>
          <w:sz w:val="24"/>
          <w:szCs w:val="24"/>
          <w:lang w:val="en-US" w:eastAsia="zh-CN"/>
        </w:rPr>
        <w:t xml:space="preserve">5.3维修后的电机必须做喷涂处理。外观必须符合 </w:t>
      </w:r>
      <w:r>
        <w:rPr>
          <w:rFonts w:hint="default" w:hAnsi="宋体" w:cs="Times New Roman"/>
          <w:sz w:val="24"/>
          <w:szCs w:val="24"/>
          <w:lang w:val="en-US" w:eastAsia="zh-CN"/>
        </w:rPr>
        <w:t xml:space="preserve">GB755-2019 </w:t>
      </w:r>
      <w:r>
        <w:rPr>
          <w:rFonts w:hint="eastAsia" w:hAnsi="宋体" w:cs="Times New Roman"/>
          <w:sz w:val="24"/>
          <w:szCs w:val="24"/>
          <w:lang w:val="en-US" w:eastAsia="zh-CN"/>
        </w:rPr>
        <w:t xml:space="preserve">或者 </w:t>
      </w:r>
      <w:r>
        <w:rPr>
          <w:rFonts w:hint="default" w:hAnsi="宋体" w:cs="Times New Roman"/>
          <w:sz w:val="24"/>
          <w:szCs w:val="24"/>
          <w:lang w:val="en-US" w:eastAsia="zh-CN"/>
        </w:rPr>
        <w:t xml:space="preserve">IEC60064-1:2017 </w:t>
      </w:r>
      <w:r>
        <w:rPr>
          <w:rFonts w:hint="eastAsia" w:hAnsi="宋体" w:cs="Times New Roman"/>
          <w:sz w:val="24"/>
          <w:szCs w:val="24"/>
          <w:lang w:val="en-US" w:eastAsia="zh-CN"/>
        </w:rPr>
        <w:t>规定要求，无掉漆、变形、缺件等明显不合格现象，螺栓、接线盒、吊环、风扇、护罩以及散热片等齐全、完整、牢固，转动轴灵活转动，无弯曲、无磕碰等。</w:t>
      </w:r>
    </w:p>
    <w:p w14:paraId="228DED1C">
      <w:pPr>
        <w:pStyle w:val="76"/>
        <w:numPr>
          <w:ilvl w:val="0"/>
          <w:numId w:val="0"/>
        </w:numPr>
        <w:adjustRightInd w:val="0"/>
        <w:snapToGrid w:val="0"/>
        <w:ind w:leftChars="0"/>
        <w:rPr>
          <w:rFonts w:hint="eastAsia" w:hAnsi="宋体" w:cs="Times New Roman"/>
          <w:sz w:val="24"/>
          <w:szCs w:val="24"/>
          <w:lang w:val="en-US" w:eastAsia="zh-CN"/>
        </w:rPr>
      </w:pPr>
      <w:r>
        <w:rPr>
          <w:rFonts w:hint="eastAsia" w:hAnsi="宋体" w:cs="Times New Roman"/>
          <w:sz w:val="24"/>
          <w:szCs w:val="24"/>
          <w:lang w:val="en-US" w:eastAsia="zh-CN"/>
        </w:rPr>
        <w:t xml:space="preserve">5.4测试电压： 维修电机检测时将三项电压调整至 </w:t>
      </w:r>
      <w:r>
        <w:rPr>
          <w:rFonts w:hint="default" w:hAnsi="宋体" w:cs="Times New Roman"/>
          <w:sz w:val="24"/>
          <w:szCs w:val="24"/>
          <w:lang w:val="en-US" w:eastAsia="zh-CN"/>
        </w:rPr>
        <w:t>380</w:t>
      </w:r>
      <w:r>
        <w:rPr>
          <w:rFonts w:hint="eastAsia" w:hAnsi="宋体" w:cs="Times New Roman"/>
          <w:sz w:val="24"/>
          <w:szCs w:val="24"/>
          <w:lang w:val="en-US" w:eastAsia="zh-CN"/>
        </w:rPr>
        <w:t>±5 伏。</w:t>
      </w:r>
    </w:p>
    <w:p w14:paraId="78E7D561">
      <w:pPr>
        <w:pStyle w:val="76"/>
        <w:numPr>
          <w:ilvl w:val="0"/>
          <w:numId w:val="0"/>
        </w:numPr>
        <w:adjustRightInd w:val="0"/>
        <w:snapToGrid w:val="0"/>
        <w:ind w:leftChars="0"/>
        <w:rPr>
          <w:rFonts w:hint="eastAsia" w:hAnsi="宋体" w:cs="Times New Roman"/>
          <w:sz w:val="24"/>
          <w:szCs w:val="24"/>
          <w:lang w:val="en-US" w:eastAsia="zh-CN"/>
        </w:rPr>
      </w:pPr>
      <w:r>
        <w:rPr>
          <w:rFonts w:hint="eastAsia" w:hAnsi="宋体" w:cs="Times New Roman"/>
          <w:sz w:val="24"/>
          <w:szCs w:val="24"/>
          <w:lang w:val="en-US" w:eastAsia="zh-CN"/>
        </w:rPr>
        <w:t xml:space="preserve">5.5对地绝缘： 在冷态下，外出维修的电机绕组线圈对地绝缘不小于 </w:t>
      </w:r>
      <w:r>
        <w:rPr>
          <w:rFonts w:hint="default" w:hAnsi="宋体" w:cs="Times New Roman"/>
          <w:sz w:val="24"/>
          <w:szCs w:val="24"/>
          <w:lang w:val="en-US" w:eastAsia="zh-CN"/>
        </w:rPr>
        <w:t>0.5MΩ</w:t>
      </w:r>
      <w:r>
        <w:rPr>
          <w:rFonts w:hint="eastAsia" w:hAnsi="宋体" w:cs="Times New Roman"/>
          <w:sz w:val="24"/>
          <w:szCs w:val="24"/>
          <w:lang w:val="en-US" w:eastAsia="zh-CN"/>
        </w:rPr>
        <w:t xml:space="preserve">；在 热 态 下 ， 外出维修的电机绕组线圈对地绝缘不小于 </w:t>
      </w:r>
      <w:r>
        <w:rPr>
          <w:rFonts w:hint="default" w:hAnsi="宋体" w:cs="Times New Roman"/>
          <w:sz w:val="24"/>
          <w:szCs w:val="24"/>
          <w:lang w:val="en-US" w:eastAsia="zh-CN"/>
        </w:rPr>
        <w:t>0.38MΩ</w:t>
      </w:r>
      <w:r>
        <w:rPr>
          <w:rFonts w:hint="eastAsia" w:hAnsi="宋体" w:cs="Times New Roman"/>
          <w:sz w:val="24"/>
          <w:szCs w:val="24"/>
          <w:lang w:val="en-US" w:eastAsia="zh-CN"/>
        </w:rPr>
        <w:t>（</w:t>
      </w:r>
      <w:r>
        <w:rPr>
          <w:rFonts w:hint="default" w:hAnsi="宋体" w:cs="Times New Roman"/>
          <w:sz w:val="24"/>
          <w:szCs w:val="24"/>
          <w:lang w:val="en-US" w:eastAsia="zh-CN"/>
        </w:rPr>
        <w:t>JB/T10391-2008</w:t>
      </w:r>
      <w:r>
        <w:rPr>
          <w:rFonts w:hint="eastAsia" w:hAnsi="宋体" w:cs="Times New Roman"/>
          <w:sz w:val="24"/>
          <w:szCs w:val="24"/>
          <w:lang w:val="en-US" w:eastAsia="zh-CN"/>
        </w:rPr>
        <w:t xml:space="preserve">）。 </w:t>
      </w:r>
    </w:p>
    <w:p w14:paraId="7493B998">
      <w:pPr>
        <w:pStyle w:val="76"/>
        <w:numPr>
          <w:ilvl w:val="0"/>
          <w:numId w:val="0"/>
        </w:numPr>
        <w:adjustRightInd w:val="0"/>
        <w:snapToGrid w:val="0"/>
        <w:ind w:leftChars="0"/>
        <w:rPr>
          <w:rFonts w:hint="eastAsia" w:hAnsi="宋体" w:cs="Times New Roman"/>
          <w:sz w:val="24"/>
          <w:szCs w:val="24"/>
          <w:lang w:val="en-US" w:eastAsia="zh-CN"/>
        </w:rPr>
      </w:pPr>
      <w:r>
        <w:rPr>
          <w:rFonts w:hint="eastAsia" w:hAnsi="宋体" w:cs="Times New Roman"/>
          <w:sz w:val="24"/>
          <w:szCs w:val="24"/>
          <w:lang w:val="en-US" w:eastAsia="zh-CN"/>
        </w:rPr>
        <w:t>5.6绕组直流阻值：各线端间的电阻值与三个线端电阻的平均值之差，对星形接法的绕组，不大于平均值的</w:t>
      </w:r>
      <w:r>
        <w:rPr>
          <w:rFonts w:hint="default" w:hAnsi="宋体" w:cs="Times New Roman"/>
          <w:sz w:val="24"/>
          <w:szCs w:val="24"/>
          <w:lang w:val="en-US" w:eastAsia="zh-CN"/>
        </w:rPr>
        <w:t>2%,</w:t>
      </w:r>
      <w:r>
        <w:rPr>
          <w:rFonts w:hint="eastAsia" w:hAnsi="宋体" w:cs="Times New Roman"/>
          <w:sz w:val="24"/>
          <w:szCs w:val="24"/>
          <w:lang w:val="en-US" w:eastAsia="zh-CN"/>
        </w:rPr>
        <w:t>对三角形接法的绕组，不大于平均值的</w:t>
      </w:r>
      <w:r>
        <w:rPr>
          <w:rFonts w:hint="default" w:hAnsi="宋体" w:cs="Times New Roman"/>
          <w:sz w:val="24"/>
          <w:szCs w:val="24"/>
          <w:lang w:val="en-US" w:eastAsia="zh-CN"/>
        </w:rPr>
        <w:t>1.5%(GB/T1032-2012)</w:t>
      </w:r>
      <w:r>
        <w:rPr>
          <w:rFonts w:hint="eastAsia" w:hAnsi="宋体" w:cs="Times New Roman"/>
          <w:sz w:val="24"/>
          <w:szCs w:val="24"/>
          <w:lang w:val="en-US" w:eastAsia="zh-CN"/>
        </w:rPr>
        <w:t xml:space="preserve">。 </w:t>
      </w:r>
    </w:p>
    <w:p w14:paraId="0DAEDD9E">
      <w:pPr>
        <w:pStyle w:val="76"/>
        <w:numPr>
          <w:ilvl w:val="0"/>
          <w:numId w:val="0"/>
        </w:numPr>
        <w:adjustRightInd w:val="0"/>
        <w:snapToGrid w:val="0"/>
        <w:ind w:leftChars="0"/>
        <w:rPr>
          <w:rFonts w:hint="eastAsia" w:hAnsi="宋体" w:cs="Times New Roman"/>
          <w:sz w:val="24"/>
          <w:szCs w:val="24"/>
          <w:lang w:val="en-US" w:eastAsia="zh-CN"/>
        </w:rPr>
      </w:pPr>
      <w:r>
        <w:rPr>
          <w:rFonts w:hint="eastAsia" w:hAnsi="宋体" w:cs="Times New Roman"/>
          <w:sz w:val="24"/>
          <w:szCs w:val="24"/>
          <w:lang w:val="en-US" w:eastAsia="zh-CN"/>
        </w:rPr>
        <w:t>5.7三相空载电流：做空载试验时，任意一相的空载电流与三相电流平均值的偏差应小于三相电流平均值的</w:t>
      </w:r>
      <w:r>
        <w:rPr>
          <w:rFonts w:hint="default" w:hAnsi="宋体" w:cs="Times New Roman"/>
          <w:sz w:val="24"/>
          <w:szCs w:val="24"/>
          <w:lang w:val="en-US" w:eastAsia="zh-CN"/>
        </w:rPr>
        <w:t>10%(JB/T10391-2008)</w:t>
      </w:r>
      <w:r>
        <w:rPr>
          <w:rFonts w:hint="eastAsia" w:hAnsi="宋体" w:cs="Times New Roman"/>
          <w:sz w:val="24"/>
          <w:szCs w:val="24"/>
          <w:lang w:val="en-US" w:eastAsia="zh-CN"/>
        </w:rPr>
        <w:t xml:space="preserve">。 </w:t>
      </w:r>
    </w:p>
    <w:p w14:paraId="41FE5737">
      <w:pPr>
        <w:pStyle w:val="76"/>
        <w:numPr>
          <w:ilvl w:val="0"/>
          <w:numId w:val="0"/>
        </w:numPr>
        <w:adjustRightInd w:val="0"/>
        <w:snapToGrid w:val="0"/>
        <w:ind w:leftChars="0"/>
        <w:rPr>
          <w:rFonts w:hint="eastAsia" w:hAnsi="宋体" w:cs="Times New Roman"/>
          <w:sz w:val="24"/>
          <w:szCs w:val="24"/>
          <w:lang w:val="en-US" w:eastAsia="zh-CN"/>
        </w:rPr>
      </w:pPr>
      <w:r>
        <w:rPr>
          <w:rFonts w:hint="eastAsia" w:hAnsi="宋体" w:cs="Times New Roman"/>
          <w:sz w:val="24"/>
          <w:szCs w:val="24"/>
          <w:lang w:val="en-US" w:eastAsia="zh-CN"/>
        </w:rPr>
        <w:t>5.8空载运转情况：运转声音平和、无杂音，运转中转动平稳，无明显震动（</w:t>
      </w:r>
      <w:r>
        <w:rPr>
          <w:rFonts w:hint="default" w:hAnsi="宋体" w:cs="Times New Roman"/>
          <w:sz w:val="24"/>
          <w:szCs w:val="24"/>
          <w:lang w:val="en-US" w:eastAsia="zh-CN"/>
        </w:rPr>
        <w:t>JB/T10391-2008</w:t>
      </w:r>
      <w:r>
        <w:rPr>
          <w:rFonts w:hint="eastAsia" w:hAnsi="宋体" w:cs="Times New Roman"/>
          <w:sz w:val="24"/>
          <w:szCs w:val="24"/>
          <w:lang w:val="en-US" w:eastAsia="zh-CN"/>
        </w:rPr>
        <w:t>）。</w:t>
      </w:r>
    </w:p>
    <w:p w14:paraId="28F672DB">
      <w:pPr>
        <w:pStyle w:val="76"/>
        <w:numPr>
          <w:ilvl w:val="0"/>
          <w:numId w:val="0"/>
        </w:numPr>
        <w:adjustRightInd w:val="0"/>
        <w:snapToGrid w:val="0"/>
        <w:ind w:leftChars="0"/>
        <w:rPr>
          <w:rFonts w:hint="eastAsia" w:hAnsi="宋体" w:cs="Times New Roman"/>
          <w:sz w:val="24"/>
          <w:szCs w:val="24"/>
          <w:lang w:val="en-US" w:eastAsia="zh-CN"/>
        </w:rPr>
      </w:pPr>
      <w:r>
        <w:rPr>
          <w:rFonts w:hint="eastAsia" w:hAnsi="宋体" w:cs="Times New Roman"/>
          <w:sz w:val="24"/>
          <w:szCs w:val="24"/>
          <w:lang w:val="en-US" w:eastAsia="zh-CN"/>
        </w:rPr>
        <w:t>项目实施完毕情况下，一般连续运行30天，每天至少连续 6 小时，除甲方方面因素外，必须达到以下要求：</w:t>
      </w:r>
    </w:p>
    <w:p w14:paraId="0CE1FF96">
      <w:pPr>
        <w:pStyle w:val="76"/>
        <w:numPr>
          <w:ilvl w:val="0"/>
          <w:numId w:val="0"/>
        </w:numPr>
        <w:adjustRightInd w:val="0"/>
        <w:snapToGrid w:val="0"/>
        <w:ind w:leftChars="0"/>
        <w:rPr>
          <w:rFonts w:hint="eastAsia" w:hAnsi="宋体" w:cs="Times New Roman"/>
          <w:sz w:val="24"/>
          <w:szCs w:val="24"/>
          <w:lang w:val="en-US" w:eastAsia="zh-CN"/>
        </w:rPr>
      </w:pPr>
      <w:r>
        <w:rPr>
          <w:rFonts w:hint="eastAsia" w:hAnsi="宋体" w:cs="Times New Roman"/>
          <w:sz w:val="24"/>
          <w:szCs w:val="24"/>
          <w:lang w:val="en-US" w:eastAsia="zh-CN"/>
        </w:rPr>
        <w:t>a)在整个验收过程中没有维修、更换零部件或元件行为；</w:t>
      </w:r>
    </w:p>
    <w:p w14:paraId="5674CA93">
      <w:pPr>
        <w:pStyle w:val="76"/>
        <w:numPr>
          <w:ilvl w:val="0"/>
          <w:numId w:val="0"/>
        </w:numPr>
        <w:adjustRightInd w:val="0"/>
        <w:snapToGrid w:val="0"/>
        <w:ind w:leftChars="0"/>
        <w:rPr>
          <w:rFonts w:hint="eastAsia" w:hAnsi="宋体" w:cs="Times New Roman"/>
          <w:sz w:val="24"/>
          <w:szCs w:val="24"/>
          <w:lang w:val="en-US" w:eastAsia="zh-CN"/>
        </w:rPr>
      </w:pPr>
      <w:r>
        <w:rPr>
          <w:rFonts w:hint="eastAsia" w:hAnsi="宋体" w:cs="Times New Roman"/>
          <w:sz w:val="24"/>
          <w:szCs w:val="24"/>
          <w:lang w:val="en-US" w:eastAsia="zh-CN"/>
        </w:rPr>
        <w:t>b)终验收原则上要求一次完成。若一次验收不成功，最多允许两次；</w:t>
      </w:r>
    </w:p>
    <w:p w14:paraId="19B801C0">
      <w:pPr>
        <w:pStyle w:val="76"/>
        <w:numPr>
          <w:ilvl w:val="0"/>
          <w:numId w:val="0"/>
        </w:numPr>
        <w:adjustRightInd w:val="0"/>
        <w:snapToGrid w:val="0"/>
        <w:ind w:leftChars="0"/>
        <w:rPr>
          <w:rFonts w:hint="eastAsia" w:hAnsi="宋体" w:cs="Times New Roman"/>
          <w:sz w:val="24"/>
          <w:szCs w:val="24"/>
          <w:lang w:val="en-US" w:eastAsia="zh-CN"/>
        </w:rPr>
      </w:pPr>
      <w:r>
        <w:rPr>
          <w:rFonts w:hint="eastAsia" w:hAnsi="宋体" w:cs="Times New Roman"/>
          <w:sz w:val="24"/>
          <w:szCs w:val="24"/>
          <w:lang w:val="en-US" w:eastAsia="zh-CN"/>
        </w:rPr>
        <w:t>c）终验收通过后甲乙双方共同签署终验收报告。</w:t>
      </w:r>
    </w:p>
    <w:p w14:paraId="605B6658">
      <w:pPr>
        <w:ind w:left="480" w:hanging="482" w:hangingChars="200"/>
        <w:rPr>
          <w:rFonts w:hint="eastAsia" w:ascii="宋体" w:hAnsi="宋体" w:eastAsia="宋体" w:cs="Times New Roman"/>
          <w:b/>
          <w:bCs/>
          <w:kern w:val="2"/>
          <w:sz w:val="24"/>
          <w:szCs w:val="24"/>
          <w:lang w:val="en-US" w:eastAsia="zh-CN" w:bidi="ar-SA"/>
        </w:rPr>
      </w:pPr>
      <w:r>
        <w:rPr>
          <w:rFonts w:hint="eastAsia" w:ascii="宋体" w:hAnsi="宋体" w:eastAsia="宋体" w:cs="Times New Roman"/>
          <w:b/>
          <w:bCs/>
          <w:kern w:val="2"/>
          <w:sz w:val="24"/>
          <w:szCs w:val="24"/>
          <w:lang w:val="en-US" w:eastAsia="zh-CN" w:bidi="ar-SA"/>
        </w:rPr>
        <w:t>6. 环境、健康和安全方面要求</w:t>
      </w:r>
    </w:p>
    <w:p w14:paraId="3BAB3602">
      <w:pPr>
        <w:pStyle w:val="76"/>
        <w:numPr>
          <w:ilvl w:val="0"/>
          <w:numId w:val="0"/>
        </w:numPr>
        <w:adjustRightInd w:val="0"/>
        <w:snapToGrid w:val="0"/>
        <w:ind w:leftChars="0"/>
        <w:rPr>
          <w:rFonts w:hint="eastAsia" w:hAnsi="宋体" w:cs="Times New Roman"/>
          <w:sz w:val="24"/>
          <w:szCs w:val="24"/>
          <w:lang w:val="en-US" w:eastAsia="zh-CN"/>
        </w:rPr>
      </w:pPr>
      <w:r>
        <w:rPr>
          <w:rFonts w:hint="eastAsia" w:hAnsi="宋体" w:cs="Times New Roman"/>
          <w:sz w:val="24"/>
          <w:szCs w:val="24"/>
          <w:lang w:val="en-US" w:eastAsia="zh-CN"/>
        </w:rPr>
        <w:t>6.1 供方应严格遵照《中华人民共和国安全生产法》、《中华人民共和国环境保护法》、《中华人民共和国职业病防治法》、《中华人员共和国消防法》及其他相关法规。</w:t>
      </w:r>
    </w:p>
    <w:p w14:paraId="480B8223">
      <w:pPr>
        <w:pStyle w:val="76"/>
        <w:numPr>
          <w:ilvl w:val="0"/>
          <w:numId w:val="0"/>
        </w:numPr>
        <w:adjustRightInd w:val="0"/>
        <w:snapToGrid w:val="0"/>
        <w:ind w:leftChars="0"/>
        <w:rPr>
          <w:rFonts w:hint="eastAsia" w:hAnsi="宋体" w:cs="Times New Roman"/>
          <w:sz w:val="24"/>
          <w:szCs w:val="24"/>
          <w:lang w:val="en-US" w:eastAsia="zh-CN"/>
        </w:rPr>
      </w:pPr>
      <w:r>
        <w:rPr>
          <w:rFonts w:hint="eastAsia" w:hAnsi="宋体" w:cs="Times New Roman"/>
          <w:sz w:val="24"/>
          <w:szCs w:val="24"/>
          <w:lang w:val="en-US" w:eastAsia="zh-CN"/>
        </w:rPr>
        <w:t>6.2 不可抗力。任何一方由于不可抗力的原因不能履行合同时，应于1个工作日内向对方通报不能履行或不能完全履行的原因，在取得有关主管机关证明以后，双方另行协商履行期限或解除合同。</w:t>
      </w:r>
    </w:p>
    <w:p w14:paraId="4D91BE6D">
      <w:pPr>
        <w:pStyle w:val="76"/>
        <w:numPr>
          <w:ilvl w:val="0"/>
          <w:numId w:val="0"/>
        </w:numPr>
        <w:adjustRightInd w:val="0"/>
        <w:snapToGrid w:val="0"/>
        <w:ind w:leftChars="0"/>
        <w:rPr>
          <w:rFonts w:hint="default" w:hAnsi="宋体" w:cs="Times New Roman"/>
          <w:sz w:val="24"/>
          <w:szCs w:val="24"/>
          <w:lang w:val="en-US" w:eastAsia="zh-CN"/>
        </w:rPr>
      </w:pPr>
      <w:r>
        <w:rPr>
          <w:rFonts w:hint="eastAsia" w:hAnsi="宋体" w:cs="Times New Roman"/>
          <w:sz w:val="24"/>
          <w:szCs w:val="24"/>
          <w:lang w:val="en-US" w:eastAsia="zh-CN"/>
        </w:rPr>
        <w:t>6.3乙方人员在甲方现场进行施工时，须遵守甲方的规章制度，服从甲方指定人员的安排。按照要求签署《EHS相关方协议》。</w:t>
      </w:r>
    </w:p>
    <w:p w14:paraId="4D8C5FA9">
      <w:pPr>
        <w:ind w:left="480" w:hanging="482" w:hangingChars="200"/>
        <w:rPr>
          <w:rFonts w:hint="eastAsia" w:ascii="宋体" w:hAnsi="宋体" w:eastAsia="宋体" w:cs="Times New Roman"/>
          <w:b/>
          <w:bCs/>
          <w:kern w:val="2"/>
          <w:sz w:val="24"/>
          <w:szCs w:val="24"/>
          <w:lang w:val="en-US" w:eastAsia="zh-CN" w:bidi="ar-SA"/>
        </w:rPr>
      </w:pPr>
      <w:r>
        <w:rPr>
          <w:rFonts w:hint="eastAsia" w:ascii="宋体" w:hAnsi="宋体" w:eastAsia="宋体" w:cs="Times New Roman"/>
          <w:b/>
          <w:bCs/>
          <w:kern w:val="2"/>
          <w:sz w:val="24"/>
          <w:szCs w:val="24"/>
          <w:lang w:val="en-US" w:eastAsia="zh-CN" w:bidi="ar-SA"/>
        </w:rPr>
        <w:t>7.知识产权</w:t>
      </w:r>
    </w:p>
    <w:p w14:paraId="14360890">
      <w:pPr>
        <w:pStyle w:val="76"/>
        <w:numPr>
          <w:ilvl w:val="0"/>
          <w:numId w:val="0"/>
        </w:numPr>
        <w:adjustRightInd w:val="0"/>
        <w:snapToGrid w:val="0"/>
        <w:ind w:leftChars="0" w:firstLine="480" w:firstLineChars="200"/>
        <w:rPr>
          <w:rFonts w:hint="eastAsia" w:hAnsi="宋体" w:cs="Times New Roman"/>
          <w:sz w:val="24"/>
          <w:szCs w:val="24"/>
          <w:lang w:val="en-US" w:eastAsia="zh-CN"/>
        </w:rPr>
      </w:pPr>
      <w:r>
        <w:rPr>
          <w:rFonts w:hint="eastAsia" w:hAnsi="宋体" w:cs="Times New Roman"/>
          <w:sz w:val="24"/>
          <w:szCs w:val="24"/>
          <w:lang w:val="en-US" w:eastAsia="zh-CN"/>
        </w:rPr>
        <w:t>供方应当保证，其提供给需方的产品不存在侵犯任何第三方知识产权的情形；如果需方因此遭受任何损失，均由供方负责承担。</w:t>
      </w:r>
    </w:p>
    <w:p w14:paraId="669DC78E">
      <w:pPr>
        <w:snapToGrid w:val="0"/>
        <w:spacing w:line="360" w:lineRule="auto"/>
        <w:rPr>
          <w:rFonts w:ascii="宋体" w:hAnsi="宋体" w:cs="黑体"/>
          <w:bCs/>
          <w:sz w:val="24"/>
          <w:szCs w:val="24"/>
        </w:rPr>
      </w:pPr>
    </w:p>
    <w:p w14:paraId="2F8B631E">
      <w:pPr>
        <w:snapToGrid w:val="0"/>
        <w:spacing w:line="360" w:lineRule="auto"/>
        <w:rPr>
          <w:rFonts w:ascii="宋体" w:hAnsi="宋体"/>
          <w:sz w:val="24"/>
          <w:szCs w:val="24"/>
        </w:rPr>
      </w:pPr>
      <w:bookmarkStart w:id="13" w:name="_Toc47976615"/>
    </w:p>
    <w:p w14:paraId="174CB5DF">
      <w:pPr>
        <w:snapToGrid w:val="0"/>
        <w:spacing w:line="360" w:lineRule="auto"/>
        <w:rPr>
          <w:rFonts w:ascii="宋体" w:hAnsi="宋体"/>
          <w:sz w:val="24"/>
          <w:szCs w:val="24"/>
        </w:rPr>
      </w:pPr>
    </w:p>
    <w:p w14:paraId="229AC3BE">
      <w:pPr>
        <w:widowControl/>
        <w:jc w:val="left"/>
        <w:rPr>
          <w:rFonts w:ascii="宋体" w:hAnsi="宋体"/>
          <w:b/>
          <w:bCs/>
          <w:sz w:val="24"/>
          <w:szCs w:val="24"/>
        </w:rPr>
      </w:pPr>
      <w:bookmarkStart w:id="14" w:name="_Toc16500"/>
      <w:r>
        <w:rPr>
          <w:rFonts w:ascii="宋体" w:hAnsi="宋体"/>
          <w:sz w:val="24"/>
          <w:szCs w:val="24"/>
        </w:rPr>
        <w:br w:type="page"/>
      </w:r>
    </w:p>
    <w:p w14:paraId="5C43EABE">
      <w:pPr>
        <w:pStyle w:val="71"/>
        <w:adjustRightInd w:val="0"/>
        <w:snapToGrid w:val="0"/>
        <w:jc w:val="left"/>
        <w:outlineLvl w:val="9"/>
        <w:rPr>
          <w:rFonts w:ascii="宋体" w:hAnsi="宋体" w:eastAsia="宋体"/>
          <w:color w:val="000000"/>
          <w:sz w:val="24"/>
          <w:szCs w:val="24"/>
        </w:rPr>
      </w:pPr>
      <w:r>
        <w:rPr>
          <w:rFonts w:hint="eastAsia" w:ascii="宋体" w:hAnsi="宋体" w:eastAsia="宋体"/>
          <w:sz w:val="24"/>
          <w:szCs w:val="24"/>
        </w:rPr>
        <w:t>第三部分　</w:t>
      </w:r>
      <w:bookmarkEnd w:id="13"/>
      <w:r>
        <w:rPr>
          <w:rFonts w:hint="eastAsia" w:ascii="宋体" w:hAnsi="宋体" w:eastAsia="宋体"/>
          <w:sz w:val="24"/>
          <w:szCs w:val="24"/>
        </w:rPr>
        <w:t>投标文件附件</w:t>
      </w:r>
      <w:bookmarkEnd w:id="14"/>
    </w:p>
    <w:p w14:paraId="5F89E6A8">
      <w:pPr>
        <w:pStyle w:val="15"/>
        <w:adjustRightInd w:val="0"/>
        <w:snapToGrid w:val="0"/>
        <w:spacing w:line="360" w:lineRule="auto"/>
        <w:jc w:val="left"/>
        <w:rPr>
          <w:rFonts w:hAnsi="宋体"/>
          <w:sz w:val="24"/>
          <w:szCs w:val="24"/>
        </w:rPr>
      </w:pPr>
    </w:p>
    <w:p w14:paraId="3FE42B5F">
      <w:pPr>
        <w:pStyle w:val="72"/>
        <w:numPr>
          <w:ilvl w:val="0"/>
          <w:numId w:val="0"/>
        </w:numPr>
        <w:adjustRightInd w:val="0"/>
        <w:snapToGrid w:val="0"/>
        <w:jc w:val="left"/>
        <w:outlineLvl w:val="9"/>
        <w:rPr>
          <w:rFonts w:ascii="宋体" w:hAnsi="宋体" w:eastAsia="宋体" w:cs="宋体"/>
          <w:sz w:val="24"/>
          <w:szCs w:val="24"/>
        </w:rPr>
      </w:pPr>
      <w:bookmarkStart w:id="15" w:name="_Toc47976618"/>
      <w:bookmarkStart w:id="16" w:name="_Toc29366865"/>
      <w:bookmarkStart w:id="17" w:name="_Toc29366869"/>
      <w:r>
        <w:rPr>
          <w:rFonts w:hint="eastAsia" w:ascii="宋体" w:hAnsi="宋体" w:eastAsia="宋体" w:cs="宋体"/>
          <w:sz w:val="24"/>
          <w:szCs w:val="24"/>
        </w:rPr>
        <w:t>附件1 法定代表人授权委托书</w:t>
      </w:r>
    </w:p>
    <w:bookmarkEnd w:id="15"/>
    <w:p w14:paraId="067173A2">
      <w:pPr>
        <w:adjustRightInd w:val="0"/>
        <w:snapToGrid w:val="0"/>
        <w:spacing w:line="360" w:lineRule="auto"/>
        <w:jc w:val="center"/>
        <w:rPr>
          <w:rFonts w:ascii="宋体" w:hAnsi="宋体" w:cs="宋体"/>
          <w:b/>
          <w:bCs/>
          <w:color w:val="000000"/>
          <w:sz w:val="24"/>
          <w:szCs w:val="24"/>
        </w:rPr>
      </w:pPr>
      <w:r>
        <w:rPr>
          <w:rFonts w:hint="eastAsia" w:ascii="宋体" w:hAnsi="宋体" w:cs="宋体"/>
          <w:b/>
          <w:bCs/>
          <w:color w:val="000000"/>
          <w:sz w:val="24"/>
          <w:szCs w:val="24"/>
        </w:rPr>
        <w:t>法定代表人授权委托书</w:t>
      </w:r>
    </w:p>
    <w:p w14:paraId="4D63FD72">
      <w:pPr>
        <w:adjustRightInd w:val="0"/>
        <w:snapToGrid w:val="0"/>
        <w:spacing w:line="360" w:lineRule="auto"/>
        <w:ind w:firstLine="480" w:firstLineChars="200"/>
        <w:jc w:val="left"/>
        <w:rPr>
          <w:rFonts w:ascii="宋体" w:hAnsi="宋体"/>
          <w:color w:val="000000"/>
          <w:sz w:val="24"/>
          <w:szCs w:val="24"/>
        </w:rPr>
      </w:pPr>
      <w:r>
        <w:rPr>
          <w:rFonts w:hint="eastAsia" w:ascii="宋体" w:hAnsi="宋体"/>
          <w:color w:val="000000"/>
          <w:sz w:val="24"/>
          <w:szCs w:val="24"/>
        </w:rPr>
        <w:t>本授权委托书声明：我＿＿＿＿＿＿＿（姓名）系＿＿＿＿＿＿＿＿＿＿＿＿＿＿＿＿＿＿＿＿＿＿＿＿（投标人全称）的法定代表人，就</w:t>
      </w:r>
      <w:r>
        <w:rPr>
          <w:rFonts w:ascii="宋体" w:hAnsi="宋体"/>
          <w:b/>
          <w:bCs/>
          <w:color w:val="000000"/>
          <w:sz w:val="24"/>
          <w:szCs w:val="24"/>
          <w:u w:val="single"/>
        </w:rPr>
        <w:t xml:space="preserve"> </w:t>
      </w:r>
      <w:r>
        <w:rPr>
          <w:rFonts w:hint="eastAsia" w:ascii="宋体" w:hAnsi="宋体" w:cs="Times New Roman"/>
          <w:b/>
          <w:bCs/>
          <w:color w:val="000000"/>
          <w:sz w:val="24"/>
          <w:szCs w:val="24"/>
          <w:u w:val="single"/>
        </w:rPr>
        <w:t xml:space="preserve"> 电机年度外委维修项</w:t>
      </w:r>
      <w:r>
        <w:rPr>
          <w:rFonts w:hint="eastAsia" w:ascii="宋体" w:hAnsi="宋体"/>
          <w:b/>
          <w:bCs/>
          <w:color w:val="000000"/>
          <w:sz w:val="24"/>
          <w:szCs w:val="24"/>
          <w:u w:val="single"/>
        </w:rPr>
        <w:t xml:space="preserve">目  </w:t>
      </w:r>
      <w:r>
        <w:rPr>
          <w:rFonts w:hint="eastAsia" w:ascii="宋体" w:hAnsi="宋体"/>
          <w:color w:val="000000"/>
          <w:sz w:val="24"/>
          <w:szCs w:val="24"/>
        </w:rPr>
        <w:t>现授权委托＿＿＿＿＿＿＿＿＿＿＿＿＿＿＿＿＿＿＿＿＿＿＿＿＿＿＿＿（单位名称）的＿＿＿＿＿＿＿＿（姓名、职务）为我公司全权代表，全权代表在投标文件、评标过程中的书面承诺、合同等所签署的一切文件和处理与之有关的一切事务，我均予以承认。</w:t>
      </w:r>
    </w:p>
    <w:p w14:paraId="14126AB2">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全权代表无转委权。特此委托。</w:t>
      </w:r>
    </w:p>
    <w:tbl>
      <w:tblPr>
        <w:tblStyle w:val="31"/>
        <w:tblW w:w="8590" w:type="dxa"/>
        <w:jc w:val="center"/>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fixed"/>
        <w:tblCellMar>
          <w:top w:w="0" w:type="dxa"/>
          <w:left w:w="108" w:type="dxa"/>
          <w:bottom w:w="0" w:type="dxa"/>
          <w:right w:w="108" w:type="dxa"/>
        </w:tblCellMar>
      </w:tblPr>
      <w:tblGrid>
        <w:gridCol w:w="8590"/>
      </w:tblGrid>
      <w:tr w14:paraId="72D3AEBB">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3407" w:hRule="atLeast"/>
          <w:jc w:val="center"/>
        </w:trPr>
        <w:tc>
          <w:tcPr>
            <w:tcW w:w="8590" w:type="dxa"/>
            <w:tcBorders>
              <w:top w:val="single" w:color="auto" w:sz="4" w:space="0"/>
              <w:bottom w:val="single" w:color="auto" w:sz="4" w:space="0"/>
            </w:tcBorders>
            <w:vAlign w:val="center"/>
          </w:tcPr>
          <w:p w14:paraId="7C788511">
            <w:pPr>
              <w:adjustRightInd w:val="0"/>
              <w:snapToGrid w:val="0"/>
              <w:spacing w:line="360" w:lineRule="auto"/>
              <w:jc w:val="left"/>
              <w:rPr>
                <w:rFonts w:ascii="宋体" w:hAnsi="宋体"/>
                <w:sz w:val="24"/>
                <w:szCs w:val="24"/>
              </w:rPr>
            </w:pPr>
            <w:r>
              <w:rPr>
                <w:rFonts w:hint="eastAsia" w:ascii="宋体" w:hAnsi="宋体"/>
                <w:sz w:val="24"/>
                <w:szCs w:val="24"/>
              </w:rPr>
              <w:t>附法人身份证明复印件（</w:t>
            </w:r>
            <w:r>
              <w:rPr>
                <w:rFonts w:hint="eastAsia" w:ascii="宋体" w:hAnsi="宋体"/>
                <w:color w:val="000000" w:themeColor="text1"/>
                <w:sz w:val="24"/>
                <w:szCs w:val="24"/>
                <w14:textFill>
                  <w14:solidFill>
                    <w14:schemeClr w14:val="tx1"/>
                  </w14:solidFill>
                </w14:textFill>
              </w:rPr>
              <w:t>正反面）</w:t>
            </w:r>
          </w:p>
          <w:p w14:paraId="2BFB815E">
            <w:pPr>
              <w:adjustRightInd w:val="0"/>
              <w:snapToGrid w:val="0"/>
              <w:spacing w:line="360" w:lineRule="auto"/>
              <w:jc w:val="left"/>
              <w:rPr>
                <w:rFonts w:ascii="宋体" w:hAnsi="宋体"/>
                <w:sz w:val="24"/>
                <w:szCs w:val="24"/>
              </w:rPr>
            </w:pPr>
            <w:r>
              <w:rPr>
                <w:rFonts w:hint="eastAsia" w:ascii="宋体" w:hAnsi="宋体"/>
                <w:sz w:val="24"/>
                <w:szCs w:val="24"/>
              </w:rPr>
              <w:t>附授权代理人身份证明复印件（正反面）</w:t>
            </w:r>
          </w:p>
        </w:tc>
      </w:tr>
    </w:tbl>
    <w:p w14:paraId="6E08DADE">
      <w:pPr>
        <w:adjustRightInd w:val="0"/>
        <w:snapToGrid w:val="0"/>
        <w:spacing w:line="360" w:lineRule="auto"/>
        <w:jc w:val="left"/>
        <w:rPr>
          <w:rFonts w:ascii="宋体" w:hAnsi="宋体"/>
          <w:color w:val="000000"/>
          <w:sz w:val="24"/>
          <w:szCs w:val="24"/>
        </w:rPr>
      </w:pPr>
    </w:p>
    <w:p w14:paraId="0D9C59BE">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全权代表姓名：</w:t>
      </w:r>
      <w:r>
        <w:rPr>
          <w:rFonts w:ascii="宋体" w:hAnsi="宋体"/>
          <w:color w:val="000000"/>
          <w:sz w:val="24"/>
          <w:szCs w:val="24"/>
        </w:rPr>
        <w:t xml:space="preserve">            </w:t>
      </w:r>
      <w:r>
        <w:rPr>
          <w:rFonts w:hint="eastAsia" w:ascii="宋体" w:hAnsi="宋体"/>
          <w:color w:val="000000"/>
          <w:sz w:val="24"/>
          <w:szCs w:val="24"/>
        </w:rPr>
        <w:t>性别：</w:t>
      </w:r>
      <w:r>
        <w:rPr>
          <w:rFonts w:ascii="宋体" w:hAnsi="宋体"/>
          <w:color w:val="000000"/>
          <w:sz w:val="24"/>
          <w:szCs w:val="24"/>
        </w:rPr>
        <w:t xml:space="preserve">          </w:t>
      </w:r>
      <w:r>
        <w:rPr>
          <w:rFonts w:hint="eastAsia" w:ascii="宋体" w:hAnsi="宋体"/>
          <w:color w:val="000000"/>
          <w:sz w:val="24"/>
          <w:szCs w:val="24"/>
        </w:rPr>
        <w:t>年龄：</w:t>
      </w:r>
    </w:p>
    <w:p w14:paraId="608DB19E">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单位：</w:t>
      </w:r>
      <w:r>
        <w:rPr>
          <w:rFonts w:ascii="宋体" w:hAnsi="宋体"/>
          <w:color w:val="000000"/>
          <w:sz w:val="24"/>
          <w:szCs w:val="24"/>
        </w:rPr>
        <w:t xml:space="preserve">                    </w:t>
      </w:r>
      <w:r>
        <w:rPr>
          <w:rFonts w:hint="eastAsia" w:ascii="宋体" w:hAnsi="宋体"/>
          <w:color w:val="000000"/>
          <w:sz w:val="24"/>
          <w:szCs w:val="24"/>
        </w:rPr>
        <w:t>部门：</w:t>
      </w:r>
      <w:r>
        <w:rPr>
          <w:rFonts w:ascii="宋体" w:hAnsi="宋体"/>
          <w:color w:val="000000"/>
          <w:sz w:val="24"/>
          <w:szCs w:val="24"/>
        </w:rPr>
        <w:t xml:space="preserve">          </w:t>
      </w:r>
      <w:r>
        <w:rPr>
          <w:rFonts w:hint="eastAsia" w:ascii="宋体" w:hAnsi="宋体"/>
          <w:color w:val="000000"/>
          <w:sz w:val="24"/>
          <w:szCs w:val="24"/>
        </w:rPr>
        <w:t>职务：</w:t>
      </w:r>
    </w:p>
    <w:p w14:paraId="173D7185">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法定代表人签字或盖章</w:t>
      </w:r>
      <w:r>
        <w:rPr>
          <w:rFonts w:ascii="宋体" w:hAnsi="宋体"/>
          <w:color w:val="000000"/>
          <w:sz w:val="24"/>
          <w:szCs w:val="24"/>
        </w:rPr>
        <w:t xml:space="preserve">                          </w:t>
      </w:r>
    </w:p>
    <w:p w14:paraId="503E14E8">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被授权人签字</w:t>
      </w:r>
      <w:r>
        <w:rPr>
          <w:rFonts w:ascii="宋体" w:hAnsi="宋体"/>
          <w:color w:val="000000"/>
          <w:sz w:val="24"/>
          <w:szCs w:val="24"/>
        </w:rPr>
        <w:t xml:space="preserve">  </w:t>
      </w:r>
    </w:p>
    <w:p w14:paraId="29F34528">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被授权人电话：</w:t>
      </w:r>
      <w:r>
        <w:rPr>
          <w:rFonts w:ascii="宋体" w:hAnsi="宋体"/>
          <w:color w:val="000000"/>
          <w:sz w:val="24"/>
          <w:szCs w:val="24"/>
        </w:rPr>
        <w:t xml:space="preserve">   </w:t>
      </w:r>
    </w:p>
    <w:p w14:paraId="3877AE3F">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投标人名称（公章）</w:t>
      </w:r>
      <w:r>
        <w:rPr>
          <w:rFonts w:ascii="宋体" w:hAnsi="宋体"/>
          <w:color w:val="000000"/>
          <w:sz w:val="24"/>
          <w:szCs w:val="24"/>
        </w:rPr>
        <w:t xml:space="preserve">                       </w:t>
      </w:r>
    </w:p>
    <w:p w14:paraId="505F43AF">
      <w:pPr>
        <w:adjustRightInd w:val="0"/>
        <w:snapToGrid w:val="0"/>
        <w:spacing w:line="360" w:lineRule="auto"/>
        <w:jc w:val="left"/>
        <w:rPr>
          <w:rFonts w:ascii="宋体" w:hAnsi="宋体"/>
          <w:sz w:val="24"/>
          <w:szCs w:val="24"/>
          <w:u w:val="single"/>
        </w:rPr>
      </w:pPr>
      <w:r>
        <w:rPr>
          <w:rFonts w:ascii="宋体" w:hAnsi="宋体"/>
          <w:sz w:val="24"/>
          <w:szCs w:val="24"/>
          <w:u w:val="single"/>
        </w:rPr>
        <w:t xml:space="preserve">      </w:t>
      </w:r>
      <w:r>
        <w:rPr>
          <w:rFonts w:hint="eastAsia" w:ascii="宋体" w:hAnsi="宋体"/>
          <w:sz w:val="24"/>
          <w:szCs w:val="24"/>
        </w:rPr>
        <w:t>年</w:t>
      </w:r>
      <w:r>
        <w:rPr>
          <w:rFonts w:ascii="宋体" w:hAnsi="宋体"/>
          <w:sz w:val="24"/>
          <w:szCs w:val="24"/>
          <w:u w:val="single"/>
        </w:rPr>
        <w:t xml:space="preserve">   </w:t>
      </w:r>
      <w:r>
        <w:rPr>
          <w:rFonts w:hint="eastAsia" w:ascii="宋体" w:hAnsi="宋体"/>
          <w:sz w:val="24"/>
          <w:szCs w:val="24"/>
        </w:rPr>
        <w:t>月</w:t>
      </w:r>
      <w:r>
        <w:rPr>
          <w:rFonts w:ascii="宋体" w:hAnsi="宋体"/>
          <w:sz w:val="24"/>
          <w:szCs w:val="24"/>
          <w:u w:val="single"/>
        </w:rPr>
        <w:t xml:space="preserve">   </w:t>
      </w:r>
      <w:r>
        <w:rPr>
          <w:rFonts w:hint="eastAsia" w:ascii="宋体" w:hAnsi="宋体"/>
          <w:sz w:val="24"/>
          <w:szCs w:val="24"/>
        </w:rPr>
        <w:t>日</w:t>
      </w:r>
    </w:p>
    <w:p w14:paraId="3AB5F6BA">
      <w:pPr>
        <w:adjustRightInd w:val="0"/>
        <w:snapToGrid w:val="0"/>
        <w:spacing w:line="360" w:lineRule="auto"/>
        <w:jc w:val="left"/>
        <w:rPr>
          <w:rFonts w:ascii="宋体" w:hAnsi="宋体"/>
          <w:sz w:val="24"/>
          <w:szCs w:val="24"/>
          <w:u w:val="single"/>
        </w:rPr>
      </w:pPr>
    </w:p>
    <w:p w14:paraId="310933E3">
      <w:pPr>
        <w:adjustRightInd w:val="0"/>
        <w:snapToGrid w:val="0"/>
        <w:spacing w:line="360" w:lineRule="auto"/>
        <w:jc w:val="left"/>
        <w:rPr>
          <w:rFonts w:ascii="宋体" w:hAnsi="宋体"/>
          <w:b/>
          <w:bCs/>
          <w:color w:val="000000"/>
          <w:sz w:val="24"/>
          <w:szCs w:val="24"/>
        </w:rPr>
      </w:pPr>
    </w:p>
    <w:p w14:paraId="0C8B47EA">
      <w:pPr>
        <w:adjustRightInd w:val="0"/>
        <w:snapToGrid w:val="0"/>
        <w:spacing w:line="360" w:lineRule="auto"/>
        <w:jc w:val="left"/>
        <w:rPr>
          <w:rFonts w:ascii="宋体" w:hAnsi="宋体" w:cs="宋体"/>
          <w:b/>
          <w:bCs/>
          <w:color w:val="000000"/>
          <w:sz w:val="24"/>
          <w:szCs w:val="24"/>
        </w:rPr>
        <w:sectPr>
          <w:footerReference r:id="rId8" w:type="first"/>
          <w:footerReference r:id="rId7" w:type="default"/>
          <w:pgSz w:w="11906" w:h="16838"/>
          <w:pgMar w:top="1588" w:right="1418" w:bottom="1134" w:left="1418" w:header="851" w:footer="992" w:gutter="0"/>
          <w:cols w:space="720" w:num="1"/>
          <w:titlePg/>
          <w:docGrid w:type="lines" w:linePitch="312" w:charSpace="0"/>
        </w:sectPr>
      </w:pPr>
    </w:p>
    <w:p w14:paraId="1C8964A9">
      <w:pPr>
        <w:pStyle w:val="72"/>
        <w:numPr>
          <w:ilvl w:val="0"/>
          <w:numId w:val="0"/>
        </w:numPr>
        <w:adjustRightInd w:val="0"/>
        <w:snapToGrid w:val="0"/>
        <w:jc w:val="left"/>
        <w:outlineLvl w:val="9"/>
        <w:rPr>
          <w:rFonts w:ascii="宋体" w:hAnsi="宋体" w:eastAsia="宋体" w:cs="宋体"/>
          <w:sz w:val="24"/>
          <w:szCs w:val="24"/>
        </w:rPr>
      </w:pPr>
      <w:r>
        <w:rPr>
          <w:rFonts w:hint="eastAsia" w:ascii="宋体" w:hAnsi="宋体" w:eastAsia="宋体" w:cs="宋体"/>
          <w:sz w:val="24"/>
          <w:szCs w:val="24"/>
        </w:rPr>
        <w:t>附件</w:t>
      </w:r>
      <w:r>
        <w:rPr>
          <w:rFonts w:ascii="宋体" w:hAnsi="宋体" w:eastAsia="宋体" w:cs="宋体"/>
          <w:sz w:val="24"/>
          <w:szCs w:val="24"/>
        </w:rPr>
        <w:t>2</w:t>
      </w:r>
      <w:r>
        <w:rPr>
          <w:rFonts w:hint="eastAsia" w:ascii="宋体" w:hAnsi="宋体" w:eastAsia="宋体" w:cs="宋体"/>
          <w:sz w:val="24"/>
          <w:szCs w:val="24"/>
        </w:rPr>
        <w:t xml:space="preserve"> 保密承诺函</w:t>
      </w:r>
    </w:p>
    <w:p w14:paraId="424560D6">
      <w:pPr>
        <w:adjustRightInd w:val="0"/>
        <w:snapToGrid w:val="0"/>
        <w:spacing w:line="360" w:lineRule="auto"/>
        <w:jc w:val="center"/>
        <w:rPr>
          <w:rFonts w:ascii="宋体" w:hAnsi="宋体" w:cs="宋体"/>
          <w:b/>
          <w:bCs/>
          <w:color w:val="000000"/>
          <w:sz w:val="24"/>
          <w:szCs w:val="24"/>
        </w:rPr>
      </w:pPr>
      <w:r>
        <w:rPr>
          <w:rFonts w:hint="eastAsia" w:ascii="宋体" w:hAnsi="宋体" w:cs="宋体"/>
          <w:b/>
          <w:bCs/>
          <w:color w:val="000000"/>
          <w:sz w:val="24"/>
          <w:szCs w:val="24"/>
        </w:rPr>
        <w:t>保密承诺函</w:t>
      </w:r>
    </w:p>
    <w:p w14:paraId="0A25E93C">
      <w:pPr>
        <w:adjustRightInd w:val="0"/>
        <w:snapToGrid w:val="0"/>
        <w:spacing w:line="360" w:lineRule="auto"/>
        <w:jc w:val="left"/>
        <w:rPr>
          <w:rFonts w:ascii="宋体" w:hAnsi="宋体"/>
          <w:b/>
          <w:bCs/>
          <w:sz w:val="24"/>
          <w:szCs w:val="24"/>
        </w:rPr>
      </w:pPr>
    </w:p>
    <w:p w14:paraId="2C6A630E">
      <w:pPr>
        <w:adjustRightInd w:val="0"/>
        <w:snapToGrid w:val="0"/>
        <w:spacing w:line="360" w:lineRule="auto"/>
        <w:jc w:val="left"/>
        <w:rPr>
          <w:rFonts w:ascii="宋体" w:hAnsi="宋体" w:cs="宋体"/>
          <w:b/>
          <w:bCs/>
          <w:sz w:val="24"/>
          <w:szCs w:val="24"/>
          <w:u w:val="single"/>
        </w:rPr>
      </w:pPr>
      <w:r>
        <w:rPr>
          <w:rFonts w:hint="eastAsia" w:ascii="宋体" w:hAnsi="宋体"/>
          <w:sz w:val="24"/>
          <w:szCs w:val="24"/>
        </w:rPr>
        <w:t>项目名称：</w:t>
      </w:r>
      <w:r>
        <w:rPr>
          <w:rFonts w:hint="eastAsia" w:ascii="宋体" w:hAnsi="宋体" w:cs="Times New Roman"/>
          <w:b/>
          <w:bCs/>
          <w:color w:val="000000"/>
          <w:sz w:val="24"/>
          <w:szCs w:val="24"/>
          <w:u w:val="single"/>
        </w:rPr>
        <w:t>电机年度外委维修</w:t>
      </w:r>
      <w:r>
        <w:rPr>
          <w:rFonts w:hint="eastAsia" w:ascii="宋体" w:hAnsi="宋体"/>
          <w:b/>
          <w:bCs/>
          <w:color w:val="000000"/>
          <w:sz w:val="24"/>
          <w:szCs w:val="24"/>
          <w:u w:val="single"/>
        </w:rPr>
        <w:t>项目</w:t>
      </w:r>
    </w:p>
    <w:p w14:paraId="31E8932E">
      <w:pPr>
        <w:adjustRightInd w:val="0"/>
        <w:snapToGrid w:val="0"/>
        <w:spacing w:line="360" w:lineRule="auto"/>
        <w:jc w:val="left"/>
        <w:rPr>
          <w:rFonts w:ascii="宋体" w:hAnsi="宋体"/>
          <w:b/>
          <w:bCs/>
          <w:sz w:val="24"/>
          <w:szCs w:val="24"/>
        </w:rPr>
      </w:pPr>
      <w:r>
        <w:rPr>
          <w:rFonts w:hint="eastAsia" w:ascii="宋体" w:hAnsi="宋体"/>
          <w:b/>
          <w:bCs/>
          <w:sz w:val="24"/>
          <w:szCs w:val="24"/>
        </w:rPr>
        <w:t>重汽（重庆）轻型汽车有限公司：</w:t>
      </w:r>
    </w:p>
    <w:p w14:paraId="12D5ED9A">
      <w:pPr>
        <w:adjustRightInd w:val="0"/>
        <w:snapToGrid w:val="0"/>
        <w:spacing w:line="360" w:lineRule="auto"/>
        <w:ind w:firstLine="480" w:firstLineChars="200"/>
        <w:jc w:val="left"/>
        <w:rPr>
          <w:rFonts w:ascii="宋体" w:hAnsi="宋体"/>
          <w:sz w:val="24"/>
          <w:szCs w:val="24"/>
        </w:rPr>
      </w:pPr>
      <w:r>
        <w:rPr>
          <w:rFonts w:hint="eastAsia" w:ascii="宋体" w:hAnsi="宋体"/>
          <w:sz w:val="24"/>
          <w:szCs w:val="24"/>
        </w:rPr>
        <w:t>我代表（</w:t>
      </w:r>
      <w:r>
        <w:rPr>
          <w:rFonts w:hint="eastAsia" w:ascii="宋体" w:hAnsi="宋体"/>
          <w:sz w:val="24"/>
          <w:szCs w:val="24"/>
          <w:u w:val="single"/>
        </w:rPr>
        <w:t>投标单位名称</w:t>
      </w:r>
      <w:r>
        <w:rPr>
          <w:rFonts w:hint="eastAsia" w:ascii="宋体" w:hAnsi="宋体"/>
          <w:sz w:val="24"/>
          <w:szCs w:val="24"/>
        </w:rPr>
        <w:t>）对招标人的商业秘密作如下承诺：</w:t>
      </w:r>
    </w:p>
    <w:p w14:paraId="18A94EB8">
      <w:pPr>
        <w:adjustRightInd w:val="0"/>
        <w:snapToGrid w:val="0"/>
        <w:spacing w:line="360" w:lineRule="auto"/>
        <w:jc w:val="left"/>
        <w:rPr>
          <w:rFonts w:ascii="宋体" w:hAnsi="宋体"/>
          <w:sz w:val="24"/>
          <w:szCs w:val="24"/>
          <w:u w:val="single"/>
        </w:rPr>
      </w:pPr>
      <w:r>
        <w:rPr>
          <w:rFonts w:ascii="宋体" w:hAnsi="宋体"/>
          <w:sz w:val="24"/>
          <w:szCs w:val="24"/>
          <w:u w:val="single"/>
        </w:rPr>
        <w:t xml:space="preserve">    </w:t>
      </w:r>
      <w:r>
        <w:rPr>
          <w:rFonts w:hint="eastAsia" w:ascii="宋体" w:hAnsi="宋体"/>
          <w:sz w:val="24"/>
          <w:szCs w:val="24"/>
          <w:u w:val="single"/>
        </w:rPr>
        <w:t>无论是否中标、是否签署合同，对获得的招标人商业秘密（包括但不限于产品和/或装备的技术文件、制造文件、实验文件和销售及售后服务文件等，如报告、通知、记录、会议纪要、备忘录、图纸、草图、样品、模型、企业标准、软件；不论以何种形式提供，如光盘、磁盘、录像带、照片或其他表述，无论该信息是以口头还是书面方式还是何种语言提供、是否标识为保密，也无论该等信息储存于任何载体）承担保密责任。</w:t>
      </w:r>
      <w:r>
        <w:rPr>
          <w:rFonts w:ascii="宋体" w:hAnsi="宋体"/>
          <w:sz w:val="24"/>
          <w:szCs w:val="24"/>
          <w:u w:val="single"/>
        </w:rPr>
        <w:t xml:space="preserve">                                                                 </w:t>
      </w:r>
    </w:p>
    <w:p w14:paraId="2A3662C8">
      <w:pPr>
        <w:adjustRightInd w:val="0"/>
        <w:snapToGrid w:val="0"/>
        <w:spacing w:line="360" w:lineRule="auto"/>
        <w:jc w:val="left"/>
        <w:rPr>
          <w:rFonts w:ascii="宋体" w:hAnsi="宋体"/>
          <w:sz w:val="24"/>
          <w:szCs w:val="24"/>
          <w:u w:val="single"/>
        </w:rPr>
      </w:pPr>
      <w:r>
        <w:rPr>
          <w:rFonts w:ascii="宋体" w:hAnsi="宋体"/>
          <w:sz w:val="24"/>
          <w:szCs w:val="24"/>
          <w:u w:val="single"/>
        </w:rPr>
        <w:t xml:space="preserve">                                                                       </w:t>
      </w:r>
    </w:p>
    <w:p w14:paraId="47879850">
      <w:pPr>
        <w:adjustRightInd w:val="0"/>
        <w:snapToGrid w:val="0"/>
        <w:spacing w:line="360" w:lineRule="auto"/>
        <w:jc w:val="left"/>
        <w:rPr>
          <w:rFonts w:ascii="宋体" w:hAnsi="宋体"/>
          <w:sz w:val="24"/>
          <w:szCs w:val="24"/>
          <w:u w:val="single"/>
        </w:rPr>
      </w:pPr>
      <w:r>
        <w:rPr>
          <w:rFonts w:ascii="宋体" w:hAnsi="宋体"/>
          <w:sz w:val="24"/>
          <w:szCs w:val="24"/>
          <w:u w:val="single"/>
        </w:rPr>
        <w:t xml:space="preserve">                                                                       </w:t>
      </w:r>
    </w:p>
    <w:p w14:paraId="2C5EE08D">
      <w:pPr>
        <w:adjustRightInd w:val="0"/>
        <w:snapToGrid w:val="0"/>
        <w:spacing w:line="360" w:lineRule="auto"/>
        <w:jc w:val="left"/>
        <w:rPr>
          <w:rFonts w:ascii="宋体" w:hAnsi="宋体"/>
          <w:sz w:val="24"/>
          <w:szCs w:val="24"/>
          <w:u w:val="single"/>
        </w:rPr>
      </w:pPr>
      <w:r>
        <w:rPr>
          <w:rFonts w:ascii="宋体" w:hAnsi="宋体"/>
          <w:sz w:val="24"/>
          <w:szCs w:val="24"/>
          <w:u w:val="single"/>
        </w:rPr>
        <w:t xml:space="preserve">                                                                       </w:t>
      </w:r>
    </w:p>
    <w:p w14:paraId="6CF43E56">
      <w:pPr>
        <w:adjustRightInd w:val="0"/>
        <w:snapToGrid w:val="0"/>
        <w:spacing w:line="360" w:lineRule="auto"/>
        <w:jc w:val="left"/>
        <w:rPr>
          <w:rFonts w:ascii="宋体" w:hAnsi="宋体"/>
          <w:sz w:val="24"/>
          <w:szCs w:val="24"/>
          <w:u w:val="single"/>
        </w:rPr>
      </w:pPr>
      <w:r>
        <w:rPr>
          <w:rFonts w:ascii="宋体" w:hAnsi="宋体"/>
          <w:sz w:val="24"/>
          <w:szCs w:val="24"/>
          <w:u w:val="single"/>
        </w:rPr>
        <w:t xml:space="preserve">                                                                       </w:t>
      </w:r>
    </w:p>
    <w:p w14:paraId="6AC45AC1">
      <w:pPr>
        <w:adjustRightInd w:val="0"/>
        <w:snapToGrid w:val="0"/>
        <w:spacing w:line="360" w:lineRule="auto"/>
        <w:jc w:val="left"/>
        <w:rPr>
          <w:rFonts w:ascii="宋体" w:hAnsi="宋体"/>
          <w:sz w:val="24"/>
          <w:szCs w:val="24"/>
          <w:u w:val="single"/>
        </w:rPr>
      </w:pPr>
      <w:r>
        <w:rPr>
          <w:rFonts w:ascii="宋体" w:hAnsi="宋体"/>
          <w:sz w:val="24"/>
          <w:szCs w:val="24"/>
          <w:u w:val="single"/>
        </w:rPr>
        <w:t xml:space="preserve">                                                                       </w:t>
      </w:r>
    </w:p>
    <w:p w14:paraId="4DCEED5F">
      <w:pPr>
        <w:adjustRightInd w:val="0"/>
        <w:snapToGrid w:val="0"/>
        <w:spacing w:line="360" w:lineRule="auto"/>
        <w:jc w:val="left"/>
        <w:rPr>
          <w:rFonts w:ascii="宋体" w:hAnsi="宋体"/>
          <w:sz w:val="24"/>
          <w:szCs w:val="24"/>
          <w:u w:val="single"/>
        </w:rPr>
      </w:pPr>
      <w:r>
        <w:rPr>
          <w:rFonts w:ascii="宋体" w:hAnsi="宋体"/>
          <w:sz w:val="24"/>
          <w:szCs w:val="24"/>
          <w:u w:val="single"/>
        </w:rPr>
        <w:t xml:space="preserve">                                                                       </w:t>
      </w:r>
    </w:p>
    <w:p w14:paraId="02342CA6">
      <w:pPr>
        <w:adjustRightInd w:val="0"/>
        <w:snapToGrid w:val="0"/>
        <w:spacing w:line="360" w:lineRule="auto"/>
        <w:jc w:val="left"/>
        <w:rPr>
          <w:rFonts w:ascii="宋体" w:hAnsi="宋体"/>
          <w:sz w:val="24"/>
          <w:szCs w:val="24"/>
          <w:u w:val="single"/>
        </w:rPr>
      </w:pPr>
      <w:r>
        <w:rPr>
          <w:rFonts w:ascii="宋体" w:hAnsi="宋体"/>
          <w:sz w:val="24"/>
          <w:szCs w:val="24"/>
          <w:u w:val="single"/>
        </w:rPr>
        <w:t xml:space="preserve">                                                                       </w:t>
      </w:r>
    </w:p>
    <w:p w14:paraId="18515945">
      <w:pPr>
        <w:adjustRightInd w:val="0"/>
        <w:snapToGrid w:val="0"/>
        <w:spacing w:line="360" w:lineRule="auto"/>
        <w:jc w:val="left"/>
        <w:rPr>
          <w:rFonts w:ascii="宋体" w:hAnsi="宋体"/>
          <w:sz w:val="24"/>
          <w:szCs w:val="24"/>
          <w:u w:val="single"/>
        </w:rPr>
      </w:pPr>
      <w:r>
        <w:rPr>
          <w:rFonts w:ascii="宋体" w:hAnsi="宋体"/>
          <w:sz w:val="24"/>
          <w:szCs w:val="24"/>
          <w:u w:val="single"/>
        </w:rPr>
        <w:t xml:space="preserve">                                                                       </w:t>
      </w:r>
    </w:p>
    <w:p w14:paraId="75468DF5">
      <w:pPr>
        <w:adjustRightInd w:val="0"/>
        <w:snapToGrid w:val="0"/>
        <w:spacing w:line="360" w:lineRule="auto"/>
        <w:jc w:val="left"/>
        <w:rPr>
          <w:rFonts w:ascii="宋体" w:hAnsi="宋体"/>
          <w:sz w:val="24"/>
          <w:szCs w:val="24"/>
          <w:u w:val="single"/>
        </w:rPr>
      </w:pPr>
      <w:r>
        <w:rPr>
          <w:rFonts w:ascii="宋体" w:hAnsi="宋体"/>
          <w:sz w:val="24"/>
          <w:szCs w:val="24"/>
          <w:u w:val="single"/>
        </w:rPr>
        <w:t xml:space="preserve">                                                                       </w:t>
      </w:r>
    </w:p>
    <w:p w14:paraId="3D764C82">
      <w:pPr>
        <w:adjustRightInd w:val="0"/>
        <w:snapToGrid w:val="0"/>
        <w:spacing w:line="360" w:lineRule="auto"/>
        <w:jc w:val="left"/>
        <w:rPr>
          <w:rFonts w:ascii="宋体" w:hAnsi="宋体"/>
          <w:sz w:val="24"/>
          <w:szCs w:val="24"/>
          <w:u w:val="single"/>
        </w:rPr>
      </w:pPr>
      <w:r>
        <w:rPr>
          <w:rFonts w:ascii="宋体" w:hAnsi="宋体"/>
          <w:sz w:val="24"/>
          <w:szCs w:val="24"/>
          <w:u w:val="single"/>
        </w:rPr>
        <w:t xml:space="preserve">                                                                       </w:t>
      </w:r>
    </w:p>
    <w:p w14:paraId="5C5E1824">
      <w:pPr>
        <w:adjustRightInd w:val="0"/>
        <w:snapToGrid w:val="0"/>
        <w:spacing w:line="360" w:lineRule="auto"/>
        <w:jc w:val="left"/>
        <w:rPr>
          <w:rFonts w:ascii="宋体" w:hAnsi="宋体"/>
          <w:sz w:val="24"/>
          <w:szCs w:val="24"/>
          <w:u w:val="single"/>
        </w:rPr>
      </w:pPr>
    </w:p>
    <w:p w14:paraId="52B35A7F">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投标人：（盖章）</w:t>
      </w:r>
    </w:p>
    <w:p w14:paraId="2C31EE4E">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法定代表人（委托代理人）：（签字）</w:t>
      </w:r>
    </w:p>
    <w:p w14:paraId="4A31B5F9">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日</w:t>
      </w:r>
      <w:r>
        <w:rPr>
          <w:rFonts w:ascii="宋体" w:hAnsi="宋体"/>
          <w:color w:val="000000"/>
          <w:sz w:val="24"/>
          <w:szCs w:val="24"/>
        </w:rPr>
        <w:t xml:space="preserve">  </w:t>
      </w:r>
      <w:r>
        <w:rPr>
          <w:rFonts w:hint="eastAsia" w:ascii="宋体" w:hAnsi="宋体"/>
          <w:color w:val="000000"/>
          <w:sz w:val="24"/>
          <w:szCs w:val="24"/>
        </w:rPr>
        <w:t>期：</w:t>
      </w:r>
      <w:r>
        <w:rPr>
          <w:rFonts w:ascii="宋体" w:hAnsi="宋体"/>
          <w:color w:val="000000"/>
          <w:sz w:val="24"/>
          <w:szCs w:val="24"/>
        </w:rPr>
        <w:t xml:space="preserve">       </w:t>
      </w:r>
      <w:r>
        <w:rPr>
          <w:rFonts w:hint="eastAsia" w:ascii="宋体" w:hAnsi="宋体"/>
          <w:color w:val="000000"/>
          <w:sz w:val="24"/>
          <w:szCs w:val="24"/>
        </w:rPr>
        <w:t>年</w:t>
      </w:r>
      <w:r>
        <w:rPr>
          <w:rFonts w:ascii="宋体" w:hAnsi="宋体"/>
          <w:color w:val="000000"/>
          <w:sz w:val="24"/>
          <w:szCs w:val="24"/>
        </w:rPr>
        <w:t xml:space="preserve">    </w:t>
      </w:r>
      <w:r>
        <w:rPr>
          <w:rFonts w:hint="eastAsia" w:ascii="宋体" w:hAnsi="宋体"/>
          <w:color w:val="000000"/>
          <w:sz w:val="24"/>
          <w:szCs w:val="24"/>
        </w:rPr>
        <w:t>月</w:t>
      </w:r>
      <w:r>
        <w:rPr>
          <w:rFonts w:ascii="宋体" w:hAnsi="宋体"/>
          <w:color w:val="000000"/>
          <w:sz w:val="24"/>
          <w:szCs w:val="24"/>
        </w:rPr>
        <w:t xml:space="preserve">    </w:t>
      </w:r>
      <w:r>
        <w:rPr>
          <w:rFonts w:hint="eastAsia" w:ascii="宋体" w:hAnsi="宋体"/>
          <w:color w:val="000000"/>
          <w:sz w:val="24"/>
          <w:szCs w:val="24"/>
        </w:rPr>
        <w:t>日</w:t>
      </w:r>
    </w:p>
    <w:bookmarkEnd w:id="16"/>
    <w:bookmarkEnd w:id="17"/>
    <w:p w14:paraId="30FAA31E">
      <w:pPr>
        <w:adjustRightInd w:val="0"/>
        <w:snapToGrid w:val="0"/>
        <w:spacing w:line="360" w:lineRule="auto"/>
        <w:jc w:val="left"/>
        <w:rPr>
          <w:rFonts w:ascii="宋体" w:hAnsi="宋体" w:cs="宋体"/>
          <w:sz w:val="24"/>
          <w:szCs w:val="24"/>
        </w:rPr>
      </w:pPr>
      <w:r>
        <w:rPr>
          <w:rFonts w:hint="eastAsia" w:ascii="宋体" w:hAnsi="宋体" w:cs="宋体"/>
          <w:sz w:val="24"/>
          <w:szCs w:val="24"/>
        </w:rPr>
        <w:br w:type="page"/>
      </w:r>
    </w:p>
    <w:p w14:paraId="5AFE7712">
      <w:pPr>
        <w:pStyle w:val="72"/>
        <w:numPr>
          <w:ilvl w:val="0"/>
          <w:numId w:val="0"/>
        </w:numPr>
        <w:adjustRightInd w:val="0"/>
        <w:snapToGrid w:val="0"/>
        <w:jc w:val="left"/>
        <w:outlineLvl w:val="9"/>
        <w:rPr>
          <w:rFonts w:ascii="宋体" w:hAnsi="宋体" w:eastAsia="宋体" w:cs="宋体"/>
          <w:sz w:val="24"/>
          <w:szCs w:val="24"/>
        </w:rPr>
        <w:sectPr>
          <w:headerReference r:id="rId9" w:type="first"/>
          <w:footerReference r:id="rId11" w:type="first"/>
          <w:footerReference r:id="rId10" w:type="default"/>
          <w:pgSz w:w="11906" w:h="16838"/>
          <w:pgMar w:top="1701" w:right="1418" w:bottom="1134" w:left="1418" w:header="851" w:footer="992" w:gutter="0"/>
          <w:cols w:space="720" w:num="1"/>
          <w:titlePg/>
          <w:docGrid w:type="lines" w:linePitch="312" w:charSpace="0"/>
        </w:sectPr>
      </w:pPr>
    </w:p>
    <w:p w14:paraId="58C8B191">
      <w:pPr>
        <w:pStyle w:val="72"/>
        <w:numPr>
          <w:ilvl w:val="0"/>
          <w:numId w:val="0"/>
        </w:numPr>
        <w:adjustRightInd w:val="0"/>
        <w:snapToGrid w:val="0"/>
        <w:jc w:val="left"/>
        <w:outlineLvl w:val="9"/>
        <w:rPr>
          <w:rFonts w:ascii="宋体" w:hAnsi="宋体" w:eastAsia="宋体" w:cs="宋体"/>
          <w:sz w:val="24"/>
          <w:szCs w:val="24"/>
        </w:rPr>
      </w:pPr>
      <w:bookmarkStart w:id="18" w:name="_Toc47976616"/>
      <w:bookmarkStart w:id="19" w:name="_Toc4225"/>
      <w:r>
        <w:rPr>
          <w:rFonts w:hint="eastAsia" w:ascii="宋体" w:hAnsi="宋体" w:eastAsia="宋体" w:cs="宋体"/>
          <w:sz w:val="24"/>
          <w:szCs w:val="24"/>
        </w:rPr>
        <w:t>附件</w:t>
      </w:r>
      <w:bookmarkEnd w:id="18"/>
      <w:bookmarkEnd w:id="19"/>
      <w:r>
        <w:rPr>
          <w:rFonts w:ascii="宋体" w:hAnsi="宋体" w:eastAsia="宋体" w:cs="宋体"/>
          <w:sz w:val="24"/>
          <w:szCs w:val="24"/>
        </w:rPr>
        <w:t>4</w:t>
      </w:r>
      <w:r>
        <w:rPr>
          <w:rFonts w:hint="eastAsia" w:ascii="宋体" w:hAnsi="宋体" w:eastAsia="宋体" w:cs="宋体"/>
          <w:sz w:val="24"/>
          <w:szCs w:val="24"/>
        </w:rPr>
        <w:t xml:space="preserve"> 投标函</w:t>
      </w:r>
    </w:p>
    <w:p w14:paraId="5D54B892">
      <w:pPr>
        <w:adjustRightInd w:val="0"/>
        <w:snapToGrid w:val="0"/>
        <w:spacing w:line="360" w:lineRule="auto"/>
        <w:jc w:val="center"/>
        <w:rPr>
          <w:rFonts w:ascii="宋体" w:hAnsi="宋体" w:cs="宋体"/>
          <w:b/>
          <w:bCs/>
          <w:color w:val="000000"/>
          <w:sz w:val="24"/>
          <w:szCs w:val="24"/>
        </w:rPr>
      </w:pPr>
      <w:r>
        <w:rPr>
          <w:rFonts w:hint="eastAsia" w:ascii="宋体" w:hAnsi="宋体" w:cs="宋体"/>
          <w:b/>
          <w:bCs/>
          <w:color w:val="000000"/>
          <w:sz w:val="24"/>
          <w:szCs w:val="24"/>
        </w:rPr>
        <w:t>投标函</w:t>
      </w:r>
    </w:p>
    <w:p w14:paraId="6C774980">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致：重汽（重庆）轻型汽车有限公司：</w:t>
      </w:r>
    </w:p>
    <w:p w14:paraId="0BC99768">
      <w:pPr>
        <w:adjustRightInd w:val="0"/>
        <w:snapToGrid w:val="0"/>
        <w:spacing w:line="360" w:lineRule="auto"/>
        <w:ind w:firstLine="480" w:firstLineChars="200"/>
        <w:jc w:val="left"/>
        <w:rPr>
          <w:rFonts w:ascii="宋体" w:hAnsi="宋体"/>
          <w:color w:val="000000"/>
          <w:sz w:val="24"/>
          <w:szCs w:val="24"/>
        </w:rPr>
      </w:pPr>
      <w:r>
        <w:rPr>
          <w:rFonts w:hint="eastAsia" w:ascii="宋体" w:hAnsi="宋体"/>
          <w:color w:val="000000"/>
          <w:sz w:val="24"/>
          <w:szCs w:val="24"/>
        </w:rPr>
        <w:t>根据贵方</w:t>
      </w:r>
      <w:r>
        <w:rPr>
          <w:rFonts w:hint="eastAsia" w:ascii="宋体" w:hAnsi="宋体" w:cs="Times New Roman"/>
          <w:color w:val="000000"/>
          <w:sz w:val="24"/>
          <w:szCs w:val="24"/>
          <w:u w:val="single"/>
        </w:rPr>
        <w:t>电机年度外委维修项目</w:t>
      </w:r>
      <w:r>
        <w:rPr>
          <w:rFonts w:hint="eastAsia" w:ascii="宋体" w:hAnsi="宋体"/>
          <w:bCs/>
          <w:snapToGrid w:val="0"/>
          <w:color w:val="000000"/>
          <w:kern w:val="0"/>
          <w:sz w:val="24"/>
          <w:szCs w:val="24"/>
        </w:rPr>
        <w:t>招标公告</w:t>
      </w:r>
      <w:r>
        <w:rPr>
          <w:rFonts w:hint="eastAsia" w:ascii="宋体" w:hAnsi="宋体"/>
          <w:color w:val="000000"/>
          <w:sz w:val="24"/>
          <w:szCs w:val="24"/>
        </w:rPr>
        <w:t>，</w:t>
      </w:r>
      <w:r>
        <w:rPr>
          <w:rFonts w:ascii="宋体" w:hAnsi="宋体"/>
          <w:b/>
          <w:color w:val="000000"/>
          <w:sz w:val="24"/>
          <w:szCs w:val="24"/>
          <w:u w:val="single"/>
        </w:rPr>
        <w:t xml:space="preserve">            </w:t>
      </w:r>
      <w:r>
        <w:rPr>
          <w:rFonts w:hint="eastAsia" w:ascii="宋体" w:hAnsi="宋体"/>
          <w:color w:val="000000"/>
          <w:sz w:val="24"/>
          <w:szCs w:val="24"/>
        </w:rPr>
        <w:t>投标公司，</w:t>
      </w:r>
      <w:r>
        <w:rPr>
          <w:rFonts w:ascii="宋体" w:hAnsi="宋体"/>
          <w:color w:val="000000"/>
          <w:sz w:val="24"/>
          <w:szCs w:val="24"/>
        </w:rPr>
        <w:t xml:space="preserve"> </w:t>
      </w:r>
      <w:r>
        <w:rPr>
          <w:rFonts w:hint="eastAsia" w:ascii="宋体" w:hAnsi="宋体"/>
          <w:color w:val="000000"/>
          <w:sz w:val="24"/>
          <w:szCs w:val="24"/>
        </w:rPr>
        <w:t>法人代表人为</w:t>
      </w:r>
      <w:r>
        <w:rPr>
          <w:rFonts w:ascii="宋体" w:hAnsi="宋体"/>
          <w:color w:val="000000"/>
          <w:sz w:val="24"/>
          <w:szCs w:val="24"/>
          <w:u w:val="single"/>
        </w:rPr>
        <w:t xml:space="preserve">         </w:t>
      </w:r>
      <w:r>
        <w:rPr>
          <w:rFonts w:hint="eastAsia" w:ascii="宋体" w:hAnsi="宋体"/>
          <w:color w:val="000000"/>
          <w:sz w:val="24"/>
          <w:szCs w:val="24"/>
        </w:rPr>
        <w:t>，正式授权</w:t>
      </w:r>
      <w:r>
        <w:rPr>
          <w:rFonts w:ascii="宋体" w:hAnsi="宋体"/>
          <w:color w:val="000000"/>
          <w:sz w:val="24"/>
          <w:szCs w:val="24"/>
          <w:u w:val="single"/>
        </w:rPr>
        <w:t xml:space="preserve">           </w:t>
      </w:r>
      <w:r>
        <w:rPr>
          <w:rFonts w:ascii="宋体" w:hAnsi="宋体"/>
          <w:color w:val="000000"/>
          <w:sz w:val="24"/>
          <w:szCs w:val="24"/>
        </w:rPr>
        <w:t xml:space="preserve"> </w:t>
      </w:r>
      <w:r>
        <w:rPr>
          <w:rFonts w:hint="eastAsia" w:ascii="宋体" w:hAnsi="宋体"/>
          <w:color w:val="000000"/>
          <w:sz w:val="24"/>
          <w:szCs w:val="24"/>
        </w:rPr>
        <w:t>提交电子版投标文件：资质证明文件、商务文件和技术文件。</w:t>
      </w:r>
    </w:p>
    <w:p w14:paraId="3F81C213">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据此函，签字代表宣布同意如下：</w:t>
      </w:r>
    </w:p>
    <w:p w14:paraId="38229038">
      <w:pPr>
        <w:pStyle w:val="63"/>
        <w:numPr>
          <w:ilvl w:val="3"/>
          <w:numId w:val="32"/>
        </w:numPr>
        <w:adjustRightInd w:val="0"/>
        <w:snapToGrid w:val="0"/>
        <w:spacing w:line="360" w:lineRule="auto"/>
        <w:ind w:left="420" w:firstLineChars="0"/>
        <w:jc w:val="left"/>
        <w:rPr>
          <w:rFonts w:ascii="宋体" w:hAnsi="宋体"/>
          <w:color w:val="000000"/>
          <w:sz w:val="24"/>
          <w:szCs w:val="24"/>
        </w:rPr>
      </w:pPr>
      <w:r>
        <w:rPr>
          <w:rFonts w:hint="eastAsia" w:ascii="宋体" w:hAnsi="宋体"/>
          <w:color w:val="000000"/>
          <w:sz w:val="24"/>
          <w:szCs w:val="24"/>
        </w:rPr>
        <w:t>投标人已详细审查全部“招标文件”，包括修改文件（如有的话）以及全部参考资料和有关附件，已经了解我方对于招标文件、采购过程、采购结果有依法进行询问、质疑、投诉的权利及相关渠道和要求。</w:t>
      </w:r>
    </w:p>
    <w:p w14:paraId="05A1E293">
      <w:pPr>
        <w:pStyle w:val="63"/>
        <w:numPr>
          <w:ilvl w:val="3"/>
          <w:numId w:val="32"/>
        </w:numPr>
        <w:adjustRightInd w:val="0"/>
        <w:snapToGrid w:val="0"/>
        <w:spacing w:line="360" w:lineRule="auto"/>
        <w:ind w:left="420" w:firstLineChars="0"/>
        <w:jc w:val="left"/>
        <w:rPr>
          <w:rFonts w:ascii="宋体" w:hAnsi="宋体"/>
          <w:color w:val="000000"/>
          <w:sz w:val="24"/>
          <w:szCs w:val="24"/>
        </w:rPr>
      </w:pPr>
      <w:r>
        <w:rPr>
          <w:rFonts w:hint="eastAsia" w:ascii="宋体" w:hAnsi="宋体"/>
          <w:color w:val="000000"/>
          <w:sz w:val="24"/>
          <w:szCs w:val="24"/>
        </w:rPr>
        <w:t>投标人在投标之前已经与贵方进行了充分的沟通，完全理解并接受招标文件的各项规定和要求，对招标文件的合理性、合法性不再有异议。</w:t>
      </w:r>
    </w:p>
    <w:p w14:paraId="0B6086A3">
      <w:pPr>
        <w:pStyle w:val="63"/>
        <w:numPr>
          <w:ilvl w:val="3"/>
          <w:numId w:val="32"/>
        </w:numPr>
        <w:adjustRightInd w:val="0"/>
        <w:snapToGrid w:val="0"/>
        <w:spacing w:line="360" w:lineRule="auto"/>
        <w:ind w:left="420" w:firstLineChars="0"/>
        <w:jc w:val="left"/>
        <w:rPr>
          <w:rFonts w:ascii="宋体" w:hAnsi="宋体"/>
          <w:color w:val="000000"/>
          <w:sz w:val="24"/>
          <w:szCs w:val="24"/>
        </w:rPr>
      </w:pPr>
      <w:r>
        <w:rPr>
          <w:rFonts w:hint="eastAsia" w:ascii="宋体" w:hAnsi="宋体"/>
          <w:color w:val="000000"/>
          <w:sz w:val="24"/>
          <w:szCs w:val="24"/>
        </w:rPr>
        <w:t>本投标有效期自开标日起90个日历日。</w:t>
      </w:r>
    </w:p>
    <w:p w14:paraId="4D4027E1">
      <w:pPr>
        <w:pStyle w:val="63"/>
        <w:numPr>
          <w:ilvl w:val="3"/>
          <w:numId w:val="32"/>
        </w:numPr>
        <w:adjustRightInd w:val="0"/>
        <w:snapToGrid w:val="0"/>
        <w:spacing w:line="360" w:lineRule="auto"/>
        <w:ind w:left="420" w:firstLineChars="0"/>
        <w:jc w:val="left"/>
        <w:rPr>
          <w:rFonts w:ascii="宋体" w:hAnsi="宋体"/>
          <w:color w:val="000000"/>
          <w:sz w:val="24"/>
          <w:szCs w:val="24"/>
        </w:rPr>
      </w:pPr>
      <w:r>
        <w:rPr>
          <w:rFonts w:hint="eastAsia" w:ascii="宋体" w:hAnsi="宋体"/>
          <w:color w:val="000000"/>
          <w:sz w:val="24"/>
          <w:szCs w:val="24"/>
        </w:rPr>
        <w:t>如中标，本投标文件至本项目合同履行完毕止均保持有效，本投标人将按“招标文件”及政府采购法律、法规的规定履行合同责任和义务。</w:t>
      </w:r>
    </w:p>
    <w:p w14:paraId="3F78C8AE">
      <w:pPr>
        <w:pStyle w:val="63"/>
        <w:numPr>
          <w:ilvl w:val="3"/>
          <w:numId w:val="32"/>
        </w:numPr>
        <w:adjustRightInd w:val="0"/>
        <w:snapToGrid w:val="0"/>
        <w:spacing w:line="360" w:lineRule="auto"/>
        <w:ind w:left="420" w:firstLineChars="0"/>
        <w:jc w:val="left"/>
        <w:rPr>
          <w:rFonts w:ascii="宋体" w:hAnsi="宋体"/>
          <w:color w:val="000000"/>
          <w:sz w:val="24"/>
          <w:szCs w:val="24"/>
        </w:rPr>
      </w:pPr>
      <w:r>
        <w:rPr>
          <w:rFonts w:hint="eastAsia" w:ascii="宋体" w:hAnsi="宋体"/>
          <w:color w:val="000000"/>
          <w:sz w:val="24"/>
          <w:szCs w:val="24"/>
        </w:rPr>
        <w:t>投标人同意按照贵方要求提供与投标有关的一切数据或资料。</w:t>
      </w:r>
    </w:p>
    <w:p w14:paraId="54C1A629">
      <w:pPr>
        <w:pStyle w:val="63"/>
        <w:numPr>
          <w:ilvl w:val="3"/>
          <w:numId w:val="32"/>
        </w:numPr>
        <w:adjustRightInd w:val="0"/>
        <w:snapToGrid w:val="0"/>
        <w:spacing w:line="360" w:lineRule="auto"/>
        <w:ind w:left="420" w:firstLineChars="0"/>
        <w:jc w:val="left"/>
        <w:rPr>
          <w:rFonts w:ascii="宋体" w:hAnsi="宋体"/>
          <w:color w:val="000000"/>
          <w:sz w:val="24"/>
          <w:szCs w:val="24"/>
        </w:rPr>
      </w:pPr>
      <w:r>
        <w:rPr>
          <w:rFonts w:hint="eastAsia" w:ascii="宋体" w:hAnsi="宋体"/>
          <w:color w:val="000000"/>
          <w:sz w:val="24"/>
          <w:szCs w:val="24"/>
        </w:rPr>
        <w:t>与本投标有关的一切正式往来信函请寄：</w:t>
      </w:r>
    </w:p>
    <w:p w14:paraId="79F514BE">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地址：</w:t>
      </w:r>
      <w:r>
        <w:rPr>
          <w:rFonts w:ascii="宋体" w:hAnsi="宋体"/>
          <w:color w:val="000000"/>
          <w:sz w:val="24"/>
          <w:szCs w:val="24"/>
        </w:rPr>
        <w:t xml:space="preserve">                             </w:t>
      </w:r>
    </w:p>
    <w:p w14:paraId="1F44D68C">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邮编：</w:t>
      </w:r>
      <w:r>
        <w:rPr>
          <w:rFonts w:ascii="宋体" w:hAnsi="宋体"/>
          <w:color w:val="000000"/>
          <w:sz w:val="24"/>
          <w:szCs w:val="24"/>
        </w:rPr>
        <w:t xml:space="preserve">        </w:t>
      </w:r>
    </w:p>
    <w:p w14:paraId="7994AF55">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电话：</w:t>
      </w:r>
      <w:r>
        <w:rPr>
          <w:rFonts w:ascii="宋体" w:hAnsi="宋体"/>
          <w:color w:val="000000"/>
          <w:sz w:val="24"/>
          <w:szCs w:val="24"/>
        </w:rPr>
        <w:t xml:space="preserve">        </w:t>
      </w:r>
      <w:r>
        <w:rPr>
          <w:rFonts w:hint="eastAsia" w:ascii="宋体" w:hAnsi="宋体"/>
          <w:color w:val="000000"/>
          <w:sz w:val="24"/>
          <w:szCs w:val="24"/>
        </w:rPr>
        <w:t>传真：</w:t>
      </w:r>
      <w:r>
        <w:rPr>
          <w:rFonts w:ascii="宋体" w:hAnsi="宋体"/>
          <w:color w:val="000000"/>
          <w:sz w:val="24"/>
          <w:szCs w:val="24"/>
        </w:rPr>
        <w:t xml:space="preserve">                   </w:t>
      </w:r>
    </w:p>
    <w:p w14:paraId="2EC117B9">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投标人代表姓名：</w:t>
      </w:r>
      <w:r>
        <w:rPr>
          <w:rFonts w:hint="eastAsia" w:ascii="宋体" w:hAnsi="宋体"/>
          <w:color w:val="000000"/>
          <w:sz w:val="24"/>
          <w:szCs w:val="24"/>
          <w:u w:val="single"/>
        </w:rPr>
        <w:t xml:space="preserve">         </w:t>
      </w:r>
      <w:r>
        <w:rPr>
          <w:rFonts w:hint="eastAsia" w:ascii="宋体" w:hAnsi="宋体"/>
          <w:color w:val="000000"/>
          <w:sz w:val="24"/>
          <w:szCs w:val="24"/>
        </w:rPr>
        <w:t>职务：</w:t>
      </w:r>
      <w:r>
        <w:rPr>
          <w:rFonts w:ascii="宋体" w:hAnsi="宋体"/>
          <w:color w:val="000000"/>
          <w:sz w:val="24"/>
          <w:szCs w:val="24"/>
        </w:rPr>
        <w:t xml:space="preserve">          </w:t>
      </w:r>
    </w:p>
    <w:p w14:paraId="0C481FA7">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开户银行：</w:t>
      </w:r>
      <w:r>
        <w:rPr>
          <w:rFonts w:ascii="宋体" w:hAnsi="宋体"/>
          <w:color w:val="000000"/>
          <w:sz w:val="24"/>
          <w:szCs w:val="24"/>
        </w:rPr>
        <w:t xml:space="preserve">                   </w:t>
      </w:r>
    </w:p>
    <w:p w14:paraId="64751B72">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银行帐号：</w:t>
      </w:r>
      <w:r>
        <w:rPr>
          <w:rFonts w:ascii="宋体" w:hAnsi="宋体"/>
          <w:color w:val="000000"/>
          <w:sz w:val="24"/>
          <w:szCs w:val="24"/>
        </w:rPr>
        <w:t xml:space="preserve">                   </w:t>
      </w:r>
    </w:p>
    <w:p w14:paraId="40F45690">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投标人名称（</w:t>
      </w:r>
      <w:r>
        <w:rPr>
          <w:rFonts w:hint="eastAsia" w:ascii="宋体" w:hAnsi="宋体"/>
          <w:bCs/>
          <w:color w:val="000000"/>
          <w:sz w:val="24"/>
          <w:szCs w:val="24"/>
        </w:rPr>
        <w:t>盖章）</w:t>
      </w:r>
      <w:r>
        <w:rPr>
          <w:rFonts w:ascii="宋体" w:hAnsi="宋体"/>
          <w:color w:val="000000"/>
          <w:sz w:val="24"/>
          <w:szCs w:val="24"/>
        </w:rPr>
        <w:t xml:space="preserve">: </w:t>
      </w:r>
    </w:p>
    <w:p w14:paraId="040A57B7">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授权代表签字</w:t>
      </w:r>
      <w:r>
        <w:rPr>
          <w:rFonts w:hint="eastAsia" w:ascii="宋体" w:hAnsi="宋体"/>
          <w:bCs/>
          <w:color w:val="000000"/>
          <w:sz w:val="24"/>
          <w:szCs w:val="24"/>
        </w:rPr>
        <w:t>：</w:t>
      </w:r>
    </w:p>
    <w:p w14:paraId="3DC8682A">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日期：</w:t>
      </w:r>
      <w:r>
        <w:rPr>
          <w:rFonts w:ascii="宋体" w:hAnsi="宋体"/>
          <w:color w:val="000000"/>
          <w:sz w:val="24"/>
          <w:szCs w:val="24"/>
        </w:rPr>
        <w:t xml:space="preserve">     </w:t>
      </w:r>
      <w:r>
        <w:rPr>
          <w:rFonts w:hint="eastAsia" w:ascii="宋体" w:hAnsi="宋体"/>
          <w:color w:val="000000"/>
          <w:sz w:val="24"/>
          <w:szCs w:val="24"/>
        </w:rPr>
        <w:t>年</w:t>
      </w:r>
      <w:r>
        <w:rPr>
          <w:rFonts w:ascii="宋体" w:hAnsi="宋体"/>
          <w:color w:val="000000"/>
          <w:sz w:val="24"/>
          <w:szCs w:val="24"/>
        </w:rPr>
        <w:t xml:space="preserve">      </w:t>
      </w:r>
      <w:r>
        <w:rPr>
          <w:rFonts w:hint="eastAsia" w:ascii="宋体" w:hAnsi="宋体"/>
          <w:color w:val="000000"/>
          <w:sz w:val="24"/>
          <w:szCs w:val="24"/>
        </w:rPr>
        <w:t>月</w:t>
      </w:r>
      <w:r>
        <w:rPr>
          <w:rFonts w:ascii="宋体" w:hAnsi="宋体"/>
          <w:color w:val="000000"/>
          <w:sz w:val="24"/>
          <w:szCs w:val="24"/>
        </w:rPr>
        <w:t xml:space="preserve">      </w:t>
      </w:r>
      <w:r>
        <w:rPr>
          <w:rFonts w:hint="eastAsia" w:ascii="宋体" w:hAnsi="宋体"/>
          <w:color w:val="000000"/>
          <w:sz w:val="24"/>
          <w:szCs w:val="24"/>
        </w:rPr>
        <w:t>日</w:t>
      </w:r>
    </w:p>
    <w:p w14:paraId="0582B648">
      <w:pPr>
        <w:pStyle w:val="76"/>
        <w:adjustRightInd w:val="0"/>
        <w:snapToGrid w:val="0"/>
        <w:rPr>
          <w:rFonts w:hAnsi="宋体"/>
          <w:sz w:val="24"/>
          <w:szCs w:val="24"/>
        </w:rPr>
      </w:pPr>
    </w:p>
    <w:p w14:paraId="5B4ECCD7">
      <w:pPr>
        <w:adjustRightInd w:val="0"/>
        <w:snapToGrid w:val="0"/>
        <w:spacing w:line="360" w:lineRule="auto"/>
        <w:jc w:val="left"/>
        <w:rPr>
          <w:rFonts w:ascii="宋体" w:hAnsi="宋体" w:cs="宋体"/>
          <w:sz w:val="24"/>
          <w:szCs w:val="24"/>
        </w:rPr>
      </w:pPr>
      <w:r>
        <w:rPr>
          <w:rFonts w:hint="eastAsia" w:ascii="宋体" w:hAnsi="宋体" w:cs="宋体"/>
          <w:sz w:val="24"/>
          <w:szCs w:val="24"/>
        </w:rPr>
        <w:br w:type="page"/>
      </w:r>
    </w:p>
    <w:p w14:paraId="75831F81">
      <w:pPr>
        <w:pStyle w:val="72"/>
        <w:numPr>
          <w:ilvl w:val="0"/>
          <w:numId w:val="0"/>
        </w:numPr>
        <w:adjustRightInd w:val="0"/>
        <w:snapToGrid w:val="0"/>
        <w:jc w:val="left"/>
        <w:outlineLvl w:val="9"/>
        <w:rPr>
          <w:rFonts w:ascii="宋体" w:hAnsi="宋体" w:eastAsia="宋体" w:cs="宋体"/>
          <w:sz w:val="24"/>
          <w:szCs w:val="24"/>
        </w:rPr>
      </w:pPr>
      <w:r>
        <w:rPr>
          <w:rFonts w:hint="eastAsia" w:ascii="宋体" w:hAnsi="宋体" w:eastAsia="宋体" w:cs="宋体"/>
          <w:sz w:val="24"/>
          <w:szCs w:val="24"/>
        </w:rPr>
        <w:t>附件</w:t>
      </w:r>
      <w:r>
        <w:rPr>
          <w:rFonts w:ascii="宋体" w:hAnsi="宋体" w:eastAsia="宋体" w:cs="宋体"/>
          <w:sz w:val="24"/>
          <w:szCs w:val="24"/>
        </w:rPr>
        <w:t>5</w:t>
      </w:r>
      <w:r>
        <w:rPr>
          <w:rFonts w:hint="eastAsia" w:ascii="宋体" w:hAnsi="宋体" w:eastAsia="宋体" w:cs="宋体"/>
          <w:sz w:val="24"/>
          <w:szCs w:val="24"/>
        </w:rPr>
        <w:t xml:space="preserve"> 招标条款偏离表</w:t>
      </w:r>
    </w:p>
    <w:p w14:paraId="19EEAF1A">
      <w:pPr>
        <w:adjustRightInd w:val="0"/>
        <w:snapToGrid w:val="0"/>
        <w:spacing w:line="360" w:lineRule="auto"/>
        <w:jc w:val="center"/>
        <w:rPr>
          <w:rFonts w:ascii="宋体" w:hAnsi="宋体" w:cs="宋体"/>
          <w:b/>
          <w:bCs/>
          <w:color w:val="000000"/>
          <w:sz w:val="24"/>
          <w:szCs w:val="24"/>
        </w:rPr>
      </w:pPr>
      <w:r>
        <w:rPr>
          <w:rFonts w:hint="eastAsia" w:ascii="宋体" w:hAnsi="宋体" w:cs="宋体"/>
          <w:b/>
          <w:sz w:val="24"/>
          <w:szCs w:val="24"/>
        </w:rPr>
        <w:t>招标</w:t>
      </w:r>
      <w:r>
        <w:rPr>
          <w:rFonts w:hint="eastAsia" w:ascii="宋体" w:hAnsi="宋体" w:cs="宋体"/>
          <w:b/>
          <w:bCs/>
          <w:color w:val="000000"/>
          <w:sz w:val="24"/>
          <w:szCs w:val="24"/>
        </w:rPr>
        <w:t>条款偏离表</w:t>
      </w:r>
    </w:p>
    <w:tbl>
      <w:tblPr>
        <w:tblStyle w:val="31"/>
        <w:tblW w:w="9637" w:type="dxa"/>
        <w:tblInd w:w="0" w:type="dxa"/>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fixed"/>
        <w:tblCellMar>
          <w:top w:w="0" w:type="dxa"/>
          <w:left w:w="108" w:type="dxa"/>
          <w:bottom w:w="0" w:type="dxa"/>
          <w:right w:w="108" w:type="dxa"/>
        </w:tblCellMar>
      </w:tblPr>
      <w:tblGrid>
        <w:gridCol w:w="1757"/>
        <w:gridCol w:w="3060"/>
        <w:gridCol w:w="3070"/>
        <w:gridCol w:w="1750"/>
      </w:tblGrid>
      <w:tr w14:paraId="7F039074">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558" w:hRule="atLeast"/>
        </w:trPr>
        <w:tc>
          <w:tcPr>
            <w:tcW w:w="1757" w:type="dxa"/>
            <w:tcBorders>
              <w:top w:val="single" w:color="auto" w:sz="4" w:space="0"/>
              <w:bottom w:val="single" w:color="auto" w:sz="4" w:space="0"/>
              <w:right w:val="single" w:color="auto" w:sz="4" w:space="0"/>
            </w:tcBorders>
            <w:vAlign w:val="center"/>
          </w:tcPr>
          <w:p w14:paraId="6124F021">
            <w:pPr>
              <w:adjustRightInd w:val="0"/>
              <w:snapToGrid w:val="0"/>
              <w:jc w:val="left"/>
              <w:rPr>
                <w:rFonts w:ascii="宋体" w:hAnsi="宋体"/>
                <w:b/>
                <w:sz w:val="24"/>
                <w:szCs w:val="24"/>
              </w:rPr>
            </w:pPr>
            <w:r>
              <w:rPr>
                <w:rFonts w:hint="eastAsia" w:ascii="宋体" w:hAnsi="宋体" w:cs="宋体"/>
                <w:b/>
                <w:bCs/>
                <w:sz w:val="24"/>
                <w:szCs w:val="24"/>
              </w:rPr>
              <w:t>特种作业及特种设备作业培训项目</w:t>
            </w:r>
          </w:p>
        </w:tc>
        <w:tc>
          <w:tcPr>
            <w:tcW w:w="3060" w:type="dxa"/>
            <w:tcBorders>
              <w:top w:val="single" w:color="auto" w:sz="4" w:space="0"/>
              <w:left w:val="single" w:color="auto" w:sz="4" w:space="0"/>
              <w:bottom w:val="single" w:color="auto" w:sz="4" w:space="0"/>
              <w:right w:val="single" w:color="auto" w:sz="4" w:space="0"/>
            </w:tcBorders>
            <w:vAlign w:val="center"/>
          </w:tcPr>
          <w:p w14:paraId="5886370A">
            <w:pPr>
              <w:adjustRightInd w:val="0"/>
              <w:snapToGrid w:val="0"/>
              <w:jc w:val="left"/>
              <w:rPr>
                <w:rFonts w:ascii="宋体" w:hAnsi="宋体"/>
                <w:b/>
                <w:sz w:val="24"/>
                <w:szCs w:val="24"/>
              </w:rPr>
            </w:pPr>
            <w:r>
              <w:rPr>
                <w:rFonts w:hint="eastAsia" w:ascii="宋体" w:hAnsi="宋体" w:cs="宋体"/>
                <w:b/>
                <w:sz w:val="24"/>
                <w:szCs w:val="24"/>
              </w:rPr>
              <w:t>招标文件要求</w:t>
            </w:r>
          </w:p>
        </w:tc>
        <w:tc>
          <w:tcPr>
            <w:tcW w:w="3070" w:type="dxa"/>
            <w:tcBorders>
              <w:top w:val="single" w:color="auto" w:sz="4" w:space="0"/>
              <w:left w:val="single" w:color="auto" w:sz="4" w:space="0"/>
              <w:bottom w:val="single" w:color="auto" w:sz="4" w:space="0"/>
              <w:right w:val="single" w:color="auto" w:sz="4" w:space="0"/>
            </w:tcBorders>
            <w:vAlign w:val="center"/>
          </w:tcPr>
          <w:p w14:paraId="6F64A8B4">
            <w:pPr>
              <w:adjustRightInd w:val="0"/>
              <w:snapToGrid w:val="0"/>
              <w:jc w:val="left"/>
              <w:rPr>
                <w:rFonts w:ascii="宋体" w:hAnsi="宋体"/>
                <w:b/>
                <w:sz w:val="24"/>
                <w:szCs w:val="24"/>
              </w:rPr>
            </w:pPr>
            <w:r>
              <w:rPr>
                <w:rFonts w:hint="eastAsia" w:ascii="宋体" w:hAnsi="宋体" w:cs="宋体"/>
                <w:b/>
                <w:sz w:val="24"/>
                <w:szCs w:val="24"/>
              </w:rPr>
              <w:t>响应规格</w:t>
            </w:r>
          </w:p>
        </w:tc>
        <w:tc>
          <w:tcPr>
            <w:tcW w:w="1750" w:type="dxa"/>
            <w:tcBorders>
              <w:top w:val="single" w:color="auto" w:sz="4" w:space="0"/>
              <w:left w:val="single" w:color="auto" w:sz="4" w:space="0"/>
              <w:bottom w:val="single" w:color="auto" w:sz="4" w:space="0"/>
            </w:tcBorders>
            <w:vAlign w:val="center"/>
          </w:tcPr>
          <w:p w14:paraId="39415B53">
            <w:pPr>
              <w:adjustRightInd w:val="0"/>
              <w:snapToGrid w:val="0"/>
              <w:jc w:val="left"/>
              <w:rPr>
                <w:rFonts w:ascii="宋体" w:hAnsi="宋体"/>
                <w:b/>
                <w:sz w:val="24"/>
                <w:szCs w:val="24"/>
              </w:rPr>
            </w:pPr>
            <w:r>
              <w:rPr>
                <w:rFonts w:hint="eastAsia" w:ascii="宋体" w:hAnsi="宋体" w:cs="宋体"/>
                <w:b/>
                <w:sz w:val="24"/>
                <w:szCs w:val="24"/>
              </w:rPr>
              <w:t>是否偏离</w:t>
            </w:r>
          </w:p>
          <w:p w14:paraId="00AA0D2E">
            <w:pPr>
              <w:adjustRightInd w:val="0"/>
              <w:snapToGrid w:val="0"/>
              <w:jc w:val="left"/>
              <w:rPr>
                <w:rFonts w:ascii="宋体" w:hAnsi="宋体"/>
                <w:b/>
                <w:sz w:val="24"/>
                <w:szCs w:val="24"/>
              </w:rPr>
            </w:pPr>
            <w:r>
              <w:rPr>
                <w:rFonts w:hint="eastAsia" w:ascii="宋体" w:hAnsi="宋体" w:cs="宋体"/>
                <w:b/>
                <w:sz w:val="24"/>
                <w:szCs w:val="24"/>
              </w:rPr>
              <w:t>（提供说明）</w:t>
            </w:r>
          </w:p>
        </w:tc>
      </w:tr>
      <w:tr w14:paraId="313E8665">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558" w:hRule="atLeast"/>
        </w:trPr>
        <w:tc>
          <w:tcPr>
            <w:tcW w:w="1757" w:type="dxa"/>
            <w:tcBorders>
              <w:top w:val="single" w:color="auto" w:sz="4" w:space="0"/>
              <w:bottom w:val="single" w:color="auto" w:sz="4" w:space="0"/>
              <w:right w:val="single" w:color="auto" w:sz="4" w:space="0"/>
            </w:tcBorders>
            <w:vAlign w:val="center"/>
          </w:tcPr>
          <w:p w14:paraId="10720EAD">
            <w:pPr>
              <w:adjustRightInd w:val="0"/>
              <w:snapToGrid w:val="0"/>
              <w:jc w:val="left"/>
              <w:rPr>
                <w:rFonts w:ascii="宋体" w:hAnsi="宋体"/>
                <w:b/>
                <w:sz w:val="24"/>
                <w:szCs w:val="24"/>
              </w:rPr>
            </w:pPr>
            <w:r>
              <w:rPr>
                <w:rFonts w:hint="eastAsia" w:ascii="宋体" w:hAnsi="宋体" w:cs="宋体"/>
                <w:b/>
                <w:sz w:val="24"/>
                <w:szCs w:val="24"/>
              </w:rPr>
              <w:t>质保期</w:t>
            </w:r>
          </w:p>
        </w:tc>
        <w:tc>
          <w:tcPr>
            <w:tcW w:w="3060" w:type="dxa"/>
            <w:tcBorders>
              <w:top w:val="single" w:color="auto" w:sz="4" w:space="0"/>
              <w:left w:val="single" w:color="auto" w:sz="4" w:space="0"/>
              <w:bottom w:val="single" w:color="auto" w:sz="4" w:space="0"/>
              <w:right w:val="single" w:color="auto" w:sz="4" w:space="0"/>
            </w:tcBorders>
            <w:vAlign w:val="center"/>
          </w:tcPr>
          <w:p w14:paraId="53DFFD28">
            <w:pPr>
              <w:adjustRightInd w:val="0"/>
              <w:snapToGrid w:val="0"/>
              <w:jc w:val="left"/>
              <w:rPr>
                <w:rFonts w:ascii="宋体" w:hAnsi="宋体"/>
                <w:b/>
                <w:sz w:val="24"/>
                <w:szCs w:val="24"/>
              </w:rPr>
            </w:pPr>
          </w:p>
        </w:tc>
        <w:tc>
          <w:tcPr>
            <w:tcW w:w="3070" w:type="dxa"/>
            <w:tcBorders>
              <w:top w:val="single" w:color="auto" w:sz="4" w:space="0"/>
              <w:left w:val="single" w:color="auto" w:sz="4" w:space="0"/>
              <w:bottom w:val="single" w:color="auto" w:sz="4" w:space="0"/>
              <w:right w:val="single" w:color="auto" w:sz="4" w:space="0"/>
            </w:tcBorders>
            <w:vAlign w:val="center"/>
          </w:tcPr>
          <w:p w14:paraId="1A30C6A6">
            <w:pPr>
              <w:adjustRightInd w:val="0"/>
              <w:snapToGrid w:val="0"/>
              <w:jc w:val="left"/>
              <w:rPr>
                <w:rFonts w:ascii="宋体" w:hAnsi="宋体"/>
                <w:b/>
                <w:sz w:val="24"/>
                <w:szCs w:val="24"/>
              </w:rPr>
            </w:pPr>
          </w:p>
        </w:tc>
        <w:tc>
          <w:tcPr>
            <w:tcW w:w="1750" w:type="dxa"/>
            <w:tcBorders>
              <w:top w:val="single" w:color="auto" w:sz="4" w:space="0"/>
              <w:left w:val="single" w:color="auto" w:sz="4" w:space="0"/>
              <w:bottom w:val="single" w:color="auto" w:sz="4" w:space="0"/>
            </w:tcBorders>
            <w:vAlign w:val="center"/>
          </w:tcPr>
          <w:p w14:paraId="47702285">
            <w:pPr>
              <w:adjustRightInd w:val="0"/>
              <w:snapToGrid w:val="0"/>
              <w:jc w:val="left"/>
              <w:rPr>
                <w:rFonts w:ascii="宋体" w:hAnsi="宋体"/>
                <w:b/>
                <w:sz w:val="24"/>
                <w:szCs w:val="24"/>
              </w:rPr>
            </w:pPr>
          </w:p>
        </w:tc>
      </w:tr>
      <w:tr w14:paraId="09581434">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558" w:hRule="atLeast"/>
        </w:trPr>
        <w:tc>
          <w:tcPr>
            <w:tcW w:w="1757" w:type="dxa"/>
            <w:tcBorders>
              <w:top w:val="single" w:color="auto" w:sz="4" w:space="0"/>
              <w:bottom w:val="single" w:color="auto" w:sz="4" w:space="0"/>
              <w:right w:val="single" w:color="auto" w:sz="4" w:space="0"/>
            </w:tcBorders>
            <w:vAlign w:val="center"/>
          </w:tcPr>
          <w:p w14:paraId="043E99D4">
            <w:pPr>
              <w:adjustRightInd w:val="0"/>
              <w:snapToGrid w:val="0"/>
              <w:jc w:val="left"/>
              <w:rPr>
                <w:rFonts w:ascii="宋体" w:hAnsi="宋体"/>
                <w:b/>
                <w:sz w:val="24"/>
                <w:szCs w:val="24"/>
              </w:rPr>
            </w:pPr>
            <w:r>
              <w:rPr>
                <w:rFonts w:hint="eastAsia" w:ascii="宋体" w:hAnsi="宋体" w:cs="宋体"/>
                <w:b/>
                <w:sz w:val="24"/>
                <w:szCs w:val="24"/>
              </w:rPr>
              <w:t>交货时间及地点</w:t>
            </w:r>
          </w:p>
        </w:tc>
        <w:tc>
          <w:tcPr>
            <w:tcW w:w="3060" w:type="dxa"/>
            <w:tcBorders>
              <w:top w:val="single" w:color="auto" w:sz="4" w:space="0"/>
              <w:left w:val="single" w:color="auto" w:sz="4" w:space="0"/>
              <w:bottom w:val="single" w:color="auto" w:sz="4" w:space="0"/>
              <w:right w:val="single" w:color="auto" w:sz="4" w:space="0"/>
            </w:tcBorders>
            <w:vAlign w:val="center"/>
          </w:tcPr>
          <w:p w14:paraId="4BACF90C">
            <w:pPr>
              <w:adjustRightInd w:val="0"/>
              <w:snapToGrid w:val="0"/>
              <w:jc w:val="left"/>
              <w:rPr>
                <w:rFonts w:ascii="宋体" w:hAnsi="宋体"/>
                <w:b/>
                <w:sz w:val="24"/>
                <w:szCs w:val="24"/>
              </w:rPr>
            </w:pPr>
          </w:p>
        </w:tc>
        <w:tc>
          <w:tcPr>
            <w:tcW w:w="3070" w:type="dxa"/>
            <w:tcBorders>
              <w:top w:val="single" w:color="auto" w:sz="4" w:space="0"/>
              <w:left w:val="single" w:color="auto" w:sz="4" w:space="0"/>
              <w:bottom w:val="single" w:color="auto" w:sz="4" w:space="0"/>
              <w:right w:val="single" w:color="auto" w:sz="4" w:space="0"/>
            </w:tcBorders>
            <w:vAlign w:val="center"/>
          </w:tcPr>
          <w:p w14:paraId="55A8C47A">
            <w:pPr>
              <w:adjustRightInd w:val="0"/>
              <w:snapToGrid w:val="0"/>
              <w:jc w:val="left"/>
              <w:rPr>
                <w:rFonts w:ascii="宋体" w:hAnsi="宋体"/>
                <w:b/>
                <w:sz w:val="24"/>
                <w:szCs w:val="24"/>
              </w:rPr>
            </w:pPr>
          </w:p>
        </w:tc>
        <w:tc>
          <w:tcPr>
            <w:tcW w:w="1750" w:type="dxa"/>
            <w:tcBorders>
              <w:top w:val="single" w:color="auto" w:sz="4" w:space="0"/>
              <w:left w:val="single" w:color="auto" w:sz="4" w:space="0"/>
              <w:bottom w:val="single" w:color="auto" w:sz="4" w:space="0"/>
            </w:tcBorders>
            <w:vAlign w:val="center"/>
          </w:tcPr>
          <w:p w14:paraId="24249FD0">
            <w:pPr>
              <w:adjustRightInd w:val="0"/>
              <w:snapToGrid w:val="0"/>
              <w:jc w:val="left"/>
              <w:rPr>
                <w:rFonts w:ascii="宋体" w:hAnsi="宋体"/>
                <w:b/>
                <w:sz w:val="24"/>
                <w:szCs w:val="24"/>
              </w:rPr>
            </w:pPr>
          </w:p>
        </w:tc>
      </w:tr>
      <w:tr w14:paraId="6BFE80F9">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558" w:hRule="atLeast"/>
        </w:trPr>
        <w:tc>
          <w:tcPr>
            <w:tcW w:w="1757" w:type="dxa"/>
            <w:tcBorders>
              <w:top w:val="single" w:color="auto" w:sz="4" w:space="0"/>
              <w:bottom w:val="single" w:color="auto" w:sz="4" w:space="0"/>
              <w:right w:val="single" w:color="auto" w:sz="4" w:space="0"/>
            </w:tcBorders>
            <w:vAlign w:val="center"/>
          </w:tcPr>
          <w:p w14:paraId="7B26D92D">
            <w:pPr>
              <w:adjustRightInd w:val="0"/>
              <w:snapToGrid w:val="0"/>
              <w:jc w:val="left"/>
              <w:rPr>
                <w:rFonts w:ascii="宋体" w:hAnsi="宋体"/>
                <w:b/>
                <w:sz w:val="24"/>
                <w:szCs w:val="24"/>
              </w:rPr>
            </w:pPr>
            <w:r>
              <w:rPr>
                <w:rFonts w:hint="eastAsia" w:ascii="宋体" w:hAnsi="宋体" w:cs="宋体"/>
                <w:b/>
                <w:sz w:val="24"/>
                <w:szCs w:val="24"/>
              </w:rPr>
              <w:t>付款条件</w:t>
            </w:r>
          </w:p>
        </w:tc>
        <w:tc>
          <w:tcPr>
            <w:tcW w:w="3060" w:type="dxa"/>
            <w:tcBorders>
              <w:top w:val="single" w:color="auto" w:sz="4" w:space="0"/>
              <w:left w:val="single" w:color="auto" w:sz="4" w:space="0"/>
              <w:bottom w:val="single" w:color="auto" w:sz="4" w:space="0"/>
              <w:right w:val="single" w:color="auto" w:sz="4" w:space="0"/>
            </w:tcBorders>
          </w:tcPr>
          <w:p w14:paraId="1E11BB59">
            <w:pPr>
              <w:adjustRightInd w:val="0"/>
              <w:snapToGrid w:val="0"/>
              <w:jc w:val="left"/>
              <w:rPr>
                <w:rFonts w:ascii="宋体" w:hAnsi="宋体"/>
                <w:b/>
                <w:sz w:val="24"/>
                <w:szCs w:val="24"/>
              </w:rPr>
            </w:pPr>
          </w:p>
        </w:tc>
        <w:tc>
          <w:tcPr>
            <w:tcW w:w="3070" w:type="dxa"/>
            <w:tcBorders>
              <w:top w:val="single" w:color="auto" w:sz="4" w:space="0"/>
              <w:left w:val="single" w:color="auto" w:sz="4" w:space="0"/>
              <w:bottom w:val="single" w:color="auto" w:sz="4" w:space="0"/>
              <w:right w:val="single" w:color="auto" w:sz="4" w:space="0"/>
            </w:tcBorders>
          </w:tcPr>
          <w:p w14:paraId="6D9C649F">
            <w:pPr>
              <w:adjustRightInd w:val="0"/>
              <w:snapToGrid w:val="0"/>
              <w:jc w:val="left"/>
              <w:rPr>
                <w:rFonts w:ascii="宋体" w:hAnsi="宋体"/>
                <w:b/>
                <w:sz w:val="24"/>
                <w:szCs w:val="24"/>
              </w:rPr>
            </w:pPr>
          </w:p>
        </w:tc>
        <w:tc>
          <w:tcPr>
            <w:tcW w:w="1750" w:type="dxa"/>
            <w:tcBorders>
              <w:top w:val="single" w:color="auto" w:sz="4" w:space="0"/>
              <w:left w:val="single" w:color="auto" w:sz="4" w:space="0"/>
              <w:bottom w:val="single" w:color="auto" w:sz="4" w:space="0"/>
            </w:tcBorders>
            <w:vAlign w:val="center"/>
          </w:tcPr>
          <w:p w14:paraId="5D30A8ED">
            <w:pPr>
              <w:adjustRightInd w:val="0"/>
              <w:snapToGrid w:val="0"/>
              <w:jc w:val="left"/>
              <w:rPr>
                <w:rFonts w:ascii="宋体" w:hAnsi="宋体"/>
                <w:b/>
                <w:sz w:val="24"/>
                <w:szCs w:val="24"/>
              </w:rPr>
            </w:pPr>
          </w:p>
        </w:tc>
      </w:tr>
      <w:tr w14:paraId="4CC9C196">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558" w:hRule="atLeast"/>
        </w:trPr>
        <w:tc>
          <w:tcPr>
            <w:tcW w:w="1757" w:type="dxa"/>
            <w:tcBorders>
              <w:top w:val="single" w:color="auto" w:sz="4" w:space="0"/>
              <w:bottom w:val="single" w:color="auto" w:sz="4" w:space="0"/>
              <w:right w:val="single" w:color="auto" w:sz="4" w:space="0"/>
            </w:tcBorders>
            <w:vAlign w:val="center"/>
          </w:tcPr>
          <w:p w14:paraId="087DA396">
            <w:pPr>
              <w:adjustRightInd w:val="0"/>
              <w:snapToGrid w:val="0"/>
              <w:jc w:val="left"/>
              <w:rPr>
                <w:rFonts w:ascii="宋体" w:hAnsi="宋体"/>
                <w:b/>
                <w:sz w:val="24"/>
                <w:szCs w:val="24"/>
              </w:rPr>
            </w:pPr>
            <w:r>
              <w:rPr>
                <w:rFonts w:hint="eastAsia" w:ascii="宋体" w:hAnsi="宋体" w:cs="宋体"/>
                <w:b/>
                <w:sz w:val="24"/>
                <w:szCs w:val="24"/>
              </w:rPr>
              <w:t>售后技术服务要求</w:t>
            </w:r>
          </w:p>
        </w:tc>
        <w:tc>
          <w:tcPr>
            <w:tcW w:w="3060" w:type="dxa"/>
            <w:tcBorders>
              <w:top w:val="single" w:color="auto" w:sz="4" w:space="0"/>
              <w:left w:val="single" w:color="auto" w:sz="4" w:space="0"/>
              <w:bottom w:val="single" w:color="auto" w:sz="4" w:space="0"/>
              <w:right w:val="single" w:color="auto" w:sz="4" w:space="0"/>
            </w:tcBorders>
            <w:vAlign w:val="center"/>
          </w:tcPr>
          <w:p w14:paraId="7970038C">
            <w:pPr>
              <w:adjustRightInd w:val="0"/>
              <w:snapToGrid w:val="0"/>
              <w:jc w:val="left"/>
              <w:rPr>
                <w:rFonts w:ascii="宋体" w:hAnsi="宋体"/>
                <w:b/>
                <w:sz w:val="24"/>
                <w:szCs w:val="24"/>
              </w:rPr>
            </w:pPr>
          </w:p>
        </w:tc>
        <w:tc>
          <w:tcPr>
            <w:tcW w:w="3070" w:type="dxa"/>
            <w:tcBorders>
              <w:top w:val="single" w:color="auto" w:sz="4" w:space="0"/>
              <w:left w:val="single" w:color="auto" w:sz="4" w:space="0"/>
              <w:bottom w:val="single" w:color="auto" w:sz="4" w:space="0"/>
              <w:right w:val="single" w:color="auto" w:sz="4" w:space="0"/>
            </w:tcBorders>
            <w:vAlign w:val="center"/>
          </w:tcPr>
          <w:p w14:paraId="0DFADD76">
            <w:pPr>
              <w:adjustRightInd w:val="0"/>
              <w:snapToGrid w:val="0"/>
              <w:jc w:val="left"/>
              <w:rPr>
                <w:rFonts w:ascii="宋体" w:hAnsi="宋体"/>
                <w:b/>
                <w:sz w:val="24"/>
                <w:szCs w:val="24"/>
              </w:rPr>
            </w:pPr>
          </w:p>
        </w:tc>
        <w:tc>
          <w:tcPr>
            <w:tcW w:w="1750" w:type="dxa"/>
            <w:tcBorders>
              <w:top w:val="single" w:color="auto" w:sz="4" w:space="0"/>
              <w:left w:val="single" w:color="auto" w:sz="4" w:space="0"/>
              <w:bottom w:val="single" w:color="auto" w:sz="4" w:space="0"/>
            </w:tcBorders>
            <w:vAlign w:val="center"/>
          </w:tcPr>
          <w:p w14:paraId="09CAFAE7">
            <w:pPr>
              <w:adjustRightInd w:val="0"/>
              <w:snapToGrid w:val="0"/>
              <w:jc w:val="left"/>
              <w:rPr>
                <w:rFonts w:ascii="宋体" w:hAnsi="宋体"/>
                <w:b/>
                <w:sz w:val="24"/>
                <w:szCs w:val="24"/>
              </w:rPr>
            </w:pPr>
          </w:p>
          <w:p w14:paraId="058D3FDB">
            <w:pPr>
              <w:adjustRightInd w:val="0"/>
              <w:snapToGrid w:val="0"/>
              <w:jc w:val="left"/>
              <w:rPr>
                <w:rFonts w:ascii="宋体" w:hAnsi="宋体"/>
                <w:b/>
                <w:sz w:val="24"/>
                <w:szCs w:val="24"/>
              </w:rPr>
            </w:pPr>
          </w:p>
          <w:p w14:paraId="1B1F487D">
            <w:pPr>
              <w:adjustRightInd w:val="0"/>
              <w:snapToGrid w:val="0"/>
              <w:jc w:val="left"/>
              <w:rPr>
                <w:rFonts w:ascii="宋体" w:hAnsi="宋体"/>
                <w:b/>
                <w:sz w:val="24"/>
                <w:szCs w:val="24"/>
              </w:rPr>
            </w:pPr>
          </w:p>
          <w:p w14:paraId="0A7576D2">
            <w:pPr>
              <w:adjustRightInd w:val="0"/>
              <w:snapToGrid w:val="0"/>
              <w:jc w:val="left"/>
              <w:rPr>
                <w:rFonts w:ascii="宋体" w:hAnsi="宋体"/>
                <w:b/>
                <w:sz w:val="24"/>
                <w:szCs w:val="24"/>
              </w:rPr>
            </w:pPr>
          </w:p>
          <w:p w14:paraId="22DD73EE">
            <w:pPr>
              <w:adjustRightInd w:val="0"/>
              <w:snapToGrid w:val="0"/>
              <w:jc w:val="left"/>
              <w:rPr>
                <w:rFonts w:ascii="宋体" w:hAnsi="宋体"/>
                <w:b/>
                <w:sz w:val="24"/>
                <w:szCs w:val="24"/>
              </w:rPr>
            </w:pPr>
          </w:p>
          <w:p w14:paraId="3E85A088">
            <w:pPr>
              <w:adjustRightInd w:val="0"/>
              <w:snapToGrid w:val="0"/>
              <w:jc w:val="left"/>
              <w:rPr>
                <w:rFonts w:ascii="宋体" w:hAnsi="宋体"/>
                <w:b/>
                <w:sz w:val="24"/>
                <w:szCs w:val="24"/>
              </w:rPr>
            </w:pPr>
          </w:p>
          <w:p w14:paraId="35A8E51A">
            <w:pPr>
              <w:adjustRightInd w:val="0"/>
              <w:snapToGrid w:val="0"/>
              <w:jc w:val="left"/>
              <w:rPr>
                <w:rFonts w:ascii="宋体" w:hAnsi="宋体"/>
                <w:b/>
                <w:sz w:val="24"/>
                <w:szCs w:val="24"/>
              </w:rPr>
            </w:pPr>
          </w:p>
          <w:p w14:paraId="18ECBEA3">
            <w:pPr>
              <w:adjustRightInd w:val="0"/>
              <w:snapToGrid w:val="0"/>
              <w:jc w:val="left"/>
              <w:rPr>
                <w:rFonts w:ascii="宋体" w:hAnsi="宋体"/>
                <w:b/>
                <w:sz w:val="24"/>
                <w:szCs w:val="24"/>
              </w:rPr>
            </w:pPr>
          </w:p>
          <w:p w14:paraId="4EB18EE7">
            <w:pPr>
              <w:adjustRightInd w:val="0"/>
              <w:snapToGrid w:val="0"/>
              <w:jc w:val="left"/>
              <w:rPr>
                <w:rFonts w:ascii="宋体" w:hAnsi="宋体"/>
                <w:b/>
                <w:sz w:val="24"/>
                <w:szCs w:val="24"/>
              </w:rPr>
            </w:pPr>
          </w:p>
          <w:p w14:paraId="539576E7">
            <w:pPr>
              <w:adjustRightInd w:val="0"/>
              <w:snapToGrid w:val="0"/>
              <w:jc w:val="left"/>
              <w:rPr>
                <w:rFonts w:ascii="宋体" w:hAnsi="宋体"/>
                <w:b/>
                <w:sz w:val="24"/>
                <w:szCs w:val="24"/>
              </w:rPr>
            </w:pPr>
          </w:p>
          <w:p w14:paraId="6B968E45">
            <w:pPr>
              <w:adjustRightInd w:val="0"/>
              <w:snapToGrid w:val="0"/>
              <w:jc w:val="left"/>
              <w:rPr>
                <w:rFonts w:ascii="宋体" w:hAnsi="宋体"/>
                <w:b/>
                <w:sz w:val="24"/>
                <w:szCs w:val="24"/>
              </w:rPr>
            </w:pPr>
          </w:p>
          <w:p w14:paraId="3429A4FE">
            <w:pPr>
              <w:adjustRightInd w:val="0"/>
              <w:snapToGrid w:val="0"/>
              <w:jc w:val="left"/>
              <w:rPr>
                <w:rFonts w:ascii="宋体" w:hAnsi="宋体"/>
                <w:b/>
                <w:sz w:val="24"/>
                <w:szCs w:val="24"/>
              </w:rPr>
            </w:pPr>
          </w:p>
          <w:p w14:paraId="0B245855">
            <w:pPr>
              <w:adjustRightInd w:val="0"/>
              <w:snapToGrid w:val="0"/>
              <w:jc w:val="left"/>
              <w:rPr>
                <w:rFonts w:ascii="宋体" w:hAnsi="宋体"/>
                <w:b/>
                <w:sz w:val="24"/>
                <w:szCs w:val="24"/>
              </w:rPr>
            </w:pPr>
          </w:p>
          <w:p w14:paraId="6BC836EB">
            <w:pPr>
              <w:adjustRightInd w:val="0"/>
              <w:snapToGrid w:val="0"/>
              <w:jc w:val="left"/>
              <w:rPr>
                <w:rFonts w:ascii="宋体" w:hAnsi="宋体"/>
                <w:b/>
                <w:sz w:val="24"/>
                <w:szCs w:val="24"/>
              </w:rPr>
            </w:pPr>
          </w:p>
          <w:p w14:paraId="5C8499AC">
            <w:pPr>
              <w:adjustRightInd w:val="0"/>
              <w:snapToGrid w:val="0"/>
              <w:jc w:val="left"/>
              <w:rPr>
                <w:rFonts w:ascii="宋体" w:hAnsi="宋体"/>
                <w:b/>
                <w:sz w:val="24"/>
                <w:szCs w:val="24"/>
              </w:rPr>
            </w:pPr>
          </w:p>
          <w:p w14:paraId="09D0C6C7">
            <w:pPr>
              <w:adjustRightInd w:val="0"/>
              <w:snapToGrid w:val="0"/>
              <w:jc w:val="left"/>
              <w:rPr>
                <w:rFonts w:ascii="宋体" w:hAnsi="宋体"/>
                <w:b/>
                <w:sz w:val="24"/>
                <w:szCs w:val="24"/>
              </w:rPr>
            </w:pPr>
          </w:p>
          <w:p w14:paraId="76EDB450">
            <w:pPr>
              <w:adjustRightInd w:val="0"/>
              <w:snapToGrid w:val="0"/>
              <w:jc w:val="left"/>
              <w:rPr>
                <w:rFonts w:ascii="宋体" w:hAnsi="宋体"/>
                <w:b/>
                <w:sz w:val="24"/>
                <w:szCs w:val="24"/>
              </w:rPr>
            </w:pPr>
          </w:p>
        </w:tc>
      </w:tr>
      <w:tr w14:paraId="5DDA9437">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558" w:hRule="atLeast"/>
        </w:trPr>
        <w:tc>
          <w:tcPr>
            <w:tcW w:w="1757" w:type="dxa"/>
            <w:tcBorders>
              <w:top w:val="single" w:color="auto" w:sz="4" w:space="0"/>
              <w:bottom w:val="single" w:color="auto" w:sz="4" w:space="0"/>
              <w:right w:val="single" w:color="auto" w:sz="4" w:space="0"/>
            </w:tcBorders>
            <w:vAlign w:val="center"/>
          </w:tcPr>
          <w:p w14:paraId="7AC7CF03">
            <w:pPr>
              <w:adjustRightInd w:val="0"/>
              <w:snapToGrid w:val="0"/>
              <w:jc w:val="left"/>
              <w:rPr>
                <w:rFonts w:ascii="宋体" w:hAnsi="宋体"/>
                <w:b/>
                <w:sz w:val="24"/>
                <w:szCs w:val="24"/>
              </w:rPr>
            </w:pPr>
            <w:r>
              <w:rPr>
                <w:rFonts w:hint="eastAsia" w:ascii="宋体" w:hAnsi="宋体" w:cs="宋体"/>
                <w:b/>
                <w:sz w:val="24"/>
                <w:szCs w:val="24"/>
              </w:rPr>
              <w:t>备品备件及耗材等要求</w:t>
            </w:r>
          </w:p>
        </w:tc>
        <w:tc>
          <w:tcPr>
            <w:tcW w:w="3060" w:type="dxa"/>
            <w:tcBorders>
              <w:top w:val="single" w:color="auto" w:sz="4" w:space="0"/>
              <w:left w:val="single" w:color="auto" w:sz="4" w:space="0"/>
              <w:bottom w:val="single" w:color="auto" w:sz="4" w:space="0"/>
              <w:right w:val="single" w:color="auto" w:sz="4" w:space="0"/>
            </w:tcBorders>
            <w:vAlign w:val="center"/>
          </w:tcPr>
          <w:p w14:paraId="1DCFFF23">
            <w:pPr>
              <w:adjustRightInd w:val="0"/>
              <w:snapToGrid w:val="0"/>
              <w:jc w:val="left"/>
              <w:rPr>
                <w:rFonts w:ascii="宋体" w:hAnsi="宋体"/>
                <w:b/>
                <w:sz w:val="24"/>
                <w:szCs w:val="24"/>
              </w:rPr>
            </w:pPr>
          </w:p>
        </w:tc>
        <w:tc>
          <w:tcPr>
            <w:tcW w:w="3070" w:type="dxa"/>
            <w:tcBorders>
              <w:top w:val="single" w:color="auto" w:sz="4" w:space="0"/>
              <w:left w:val="single" w:color="auto" w:sz="4" w:space="0"/>
              <w:bottom w:val="single" w:color="auto" w:sz="4" w:space="0"/>
              <w:right w:val="single" w:color="auto" w:sz="4" w:space="0"/>
            </w:tcBorders>
            <w:vAlign w:val="center"/>
          </w:tcPr>
          <w:p w14:paraId="3C3D8E47">
            <w:pPr>
              <w:adjustRightInd w:val="0"/>
              <w:snapToGrid w:val="0"/>
              <w:jc w:val="left"/>
              <w:rPr>
                <w:rFonts w:ascii="宋体" w:hAnsi="宋体"/>
                <w:b/>
                <w:sz w:val="24"/>
                <w:szCs w:val="24"/>
              </w:rPr>
            </w:pPr>
          </w:p>
        </w:tc>
        <w:tc>
          <w:tcPr>
            <w:tcW w:w="1750" w:type="dxa"/>
            <w:tcBorders>
              <w:top w:val="single" w:color="auto" w:sz="4" w:space="0"/>
              <w:left w:val="single" w:color="auto" w:sz="4" w:space="0"/>
              <w:bottom w:val="single" w:color="auto" w:sz="4" w:space="0"/>
            </w:tcBorders>
            <w:vAlign w:val="center"/>
          </w:tcPr>
          <w:p w14:paraId="39DA9A9D">
            <w:pPr>
              <w:adjustRightInd w:val="0"/>
              <w:snapToGrid w:val="0"/>
              <w:jc w:val="left"/>
              <w:rPr>
                <w:rFonts w:ascii="宋体" w:hAnsi="宋体"/>
                <w:b/>
                <w:sz w:val="24"/>
                <w:szCs w:val="24"/>
              </w:rPr>
            </w:pPr>
          </w:p>
        </w:tc>
      </w:tr>
    </w:tbl>
    <w:p w14:paraId="4093DF65">
      <w:pPr>
        <w:adjustRightInd w:val="0"/>
        <w:snapToGrid w:val="0"/>
        <w:spacing w:line="360" w:lineRule="auto"/>
        <w:jc w:val="left"/>
        <w:rPr>
          <w:rFonts w:ascii="宋体" w:hAnsi="宋体"/>
          <w:color w:val="000000"/>
          <w:sz w:val="24"/>
          <w:szCs w:val="24"/>
        </w:rPr>
      </w:pPr>
    </w:p>
    <w:p w14:paraId="0704ACD9">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投标人名称：</w:t>
      </w:r>
      <w:r>
        <w:rPr>
          <w:rFonts w:ascii="宋体" w:hAnsi="宋体"/>
          <w:color w:val="000000"/>
          <w:sz w:val="24"/>
          <w:szCs w:val="24"/>
        </w:rPr>
        <w:t xml:space="preserve">                   </w:t>
      </w:r>
      <w:r>
        <w:rPr>
          <w:rFonts w:hint="eastAsia" w:ascii="宋体" w:hAnsi="宋体"/>
          <w:color w:val="000000"/>
          <w:sz w:val="24"/>
          <w:szCs w:val="24"/>
        </w:rPr>
        <w:t>授权代表签字：</w:t>
      </w:r>
      <w:r>
        <w:rPr>
          <w:rFonts w:ascii="宋体" w:hAnsi="宋体"/>
          <w:color w:val="000000"/>
          <w:sz w:val="24"/>
          <w:szCs w:val="24"/>
        </w:rPr>
        <w:t xml:space="preserve">            </w:t>
      </w:r>
      <w:r>
        <w:rPr>
          <w:rFonts w:hint="eastAsia" w:ascii="宋体" w:hAnsi="宋体"/>
          <w:color w:val="000000"/>
          <w:sz w:val="24"/>
          <w:szCs w:val="24"/>
        </w:rPr>
        <w:t>日期：</w:t>
      </w:r>
    </w:p>
    <w:p w14:paraId="2D2F4920">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注：为避免歧义，无偏离也应要提报该表，并注明“无”字。如无该表则即使在其它部分已反映，将也被视为“无偏离”。</w:t>
      </w:r>
    </w:p>
    <w:p w14:paraId="0BC2905B">
      <w:pPr>
        <w:pStyle w:val="2"/>
        <w:adjustRightInd w:val="0"/>
        <w:snapToGrid w:val="0"/>
        <w:spacing w:line="360" w:lineRule="auto"/>
        <w:jc w:val="left"/>
        <w:rPr>
          <w:rFonts w:ascii="宋体" w:hAnsi="宋体" w:eastAsia="宋体"/>
          <w:sz w:val="24"/>
          <w:szCs w:val="24"/>
        </w:rPr>
      </w:pPr>
    </w:p>
    <w:p w14:paraId="2E52BA70">
      <w:pPr>
        <w:pStyle w:val="76"/>
        <w:adjustRightInd w:val="0"/>
        <w:snapToGrid w:val="0"/>
        <w:rPr>
          <w:rFonts w:hAnsi="宋体"/>
          <w:sz w:val="24"/>
          <w:szCs w:val="24"/>
        </w:rPr>
      </w:pPr>
    </w:p>
    <w:p w14:paraId="479EC3BF">
      <w:pPr>
        <w:pStyle w:val="76"/>
        <w:adjustRightInd w:val="0"/>
        <w:snapToGrid w:val="0"/>
        <w:rPr>
          <w:rFonts w:hAnsi="宋体"/>
          <w:sz w:val="24"/>
          <w:szCs w:val="24"/>
        </w:rPr>
      </w:pPr>
    </w:p>
    <w:p w14:paraId="3E2F10B5">
      <w:pPr>
        <w:adjustRightInd w:val="0"/>
        <w:snapToGrid w:val="0"/>
        <w:spacing w:line="360" w:lineRule="auto"/>
        <w:jc w:val="left"/>
        <w:rPr>
          <w:rFonts w:ascii="宋体" w:hAnsi="宋体" w:cs="宋体"/>
          <w:sz w:val="24"/>
          <w:szCs w:val="24"/>
        </w:rPr>
      </w:pPr>
      <w:r>
        <w:rPr>
          <w:rFonts w:ascii="宋体" w:hAnsi="宋体"/>
          <w:sz w:val="24"/>
          <w:szCs w:val="24"/>
        </w:rPr>
        <w:br w:type="page"/>
      </w:r>
      <w:r>
        <w:rPr>
          <w:rFonts w:hint="eastAsia" w:ascii="宋体" w:hAnsi="宋体" w:eastAsia="宋体" w:cs="宋体"/>
          <w:b/>
          <w:bCs/>
          <w:kern w:val="2"/>
          <w:sz w:val="24"/>
          <w:szCs w:val="24"/>
          <w:lang w:val="en-US" w:eastAsia="zh-CN" w:bidi="ar-SA"/>
        </w:rPr>
        <w:t>附件6 SRM非生产供应商注册操作手册</w:t>
      </w:r>
    </w:p>
    <w:p w14:paraId="797FBA50">
      <w:pPr>
        <w:adjustRightInd w:val="0"/>
        <w:snapToGrid w:val="0"/>
        <w:spacing w:line="360" w:lineRule="auto"/>
        <w:jc w:val="left"/>
        <w:rPr>
          <w:rFonts w:ascii="宋体" w:hAnsi="宋体" w:cs="宋体"/>
          <w:sz w:val="24"/>
          <w:szCs w:val="24"/>
        </w:rPr>
      </w:pPr>
      <w:r>
        <w:rPr>
          <w:rFonts w:ascii="宋体" w:hAnsi="宋体" w:cs="宋体"/>
          <w:sz w:val="24"/>
          <w:szCs w:val="24"/>
        </w:rPr>
        <w:t>浏览器中输入地址;</w:t>
      </w:r>
    </w:p>
    <w:p w14:paraId="655368B2">
      <w:pPr>
        <w:adjustRightInd w:val="0"/>
        <w:snapToGrid w:val="0"/>
        <w:spacing w:line="360" w:lineRule="auto"/>
        <w:jc w:val="left"/>
        <w:rPr>
          <w:rFonts w:ascii="宋体" w:hAnsi="宋体" w:cs="宋体"/>
          <w:sz w:val="24"/>
          <w:szCs w:val="24"/>
        </w:rPr>
      </w:pPr>
      <w:r>
        <w:fldChar w:fldCharType="begin"/>
      </w:r>
      <w:r>
        <w:instrText xml:space="preserve"> HYPERLINK "http://ecaitong.sinotruk.com:8012/" \l "/login" \t "dlt" </w:instrText>
      </w:r>
      <w:r>
        <w:fldChar w:fldCharType="separate"/>
      </w:r>
      <w:r>
        <w:rPr>
          <w:rFonts w:ascii="宋体" w:hAnsi="宋体" w:cs="宋体"/>
          <w:sz w:val="24"/>
          <w:szCs w:val="24"/>
        </w:rPr>
        <w:t>http</w:t>
      </w:r>
      <w:r>
        <w:rPr>
          <w:rFonts w:hint="eastAsia" w:ascii="宋体" w:hAnsi="宋体" w:cs="宋体"/>
          <w:sz w:val="24"/>
          <w:szCs w:val="24"/>
        </w:rPr>
        <w:t>s</w:t>
      </w:r>
      <w:r>
        <w:rPr>
          <w:rFonts w:ascii="宋体" w:hAnsi="宋体" w:cs="宋体"/>
          <w:sz w:val="24"/>
          <w:szCs w:val="24"/>
        </w:rPr>
        <w:t>://ecaitong.sinotruk.com:8012/#/login</w:t>
      </w:r>
      <w:r>
        <w:rPr>
          <w:rFonts w:ascii="宋体" w:hAnsi="宋体" w:cs="宋体"/>
          <w:sz w:val="24"/>
          <w:szCs w:val="24"/>
        </w:rPr>
        <w:fldChar w:fldCharType="end"/>
      </w:r>
      <w:r>
        <w:rPr>
          <w:rFonts w:ascii="宋体" w:hAnsi="宋体" w:cs="宋体"/>
          <w:sz w:val="24"/>
          <w:szCs w:val="24"/>
        </w:rPr>
        <w:br w:type="textWrapping"/>
      </w:r>
      <w:r>
        <w:rPr>
          <w:rFonts w:hint="eastAsia" w:ascii="宋体" w:hAnsi="宋体" w:cs="宋体"/>
          <w:b/>
          <w:bCs/>
          <w:sz w:val="24"/>
          <w:szCs w:val="24"/>
        </w:rPr>
        <w:t>注：登录页面可下载《供应商用户手册》</w:t>
      </w:r>
    </w:p>
    <w:p w14:paraId="596226C6">
      <w:pPr>
        <w:adjustRightInd w:val="0"/>
        <w:snapToGrid w:val="0"/>
        <w:spacing w:line="360" w:lineRule="auto"/>
        <w:jc w:val="left"/>
        <w:rPr>
          <w:rFonts w:ascii="宋体" w:hAnsi="宋体" w:cs="宋体"/>
          <w:sz w:val="24"/>
          <w:szCs w:val="24"/>
        </w:rPr>
      </w:pPr>
      <w:r>
        <w:rPr>
          <w:rFonts w:ascii="宋体" w:hAnsi="宋体" w:cs="宋体"/>
          <w:sz w:val="24"/>
          <w:szCs w:val="24"/>
        </w:rPr>
        <w:t>1.点击立即注册</w:t>
      </w:r>
    </w:p>
    <w:p w14:paraId="4DF96C73">
      <w:pPr>
        <w:adjustRightInd w:val="0"/>
        <w:snapToGrid w:val="0"/>
        <w:spacing w:line="360" w:lineRule="auto"/>
        <w:jc w:val="left"/>
        <w:rPr>
          <w:rFonts w:ascii="宋体" w:hAnsi="宋体"/>
          <w:sz w:val="24"/>
          <w:szCs w:val="24"/>
        </w:rPr>
      </w:pPr>
      <w:r>
        <w:rPr>
          <w:rFonts w:ascii="宋体" w:hAnsi="宋体"/>
          <w:sz w:val="24"/>
          <w:szCs w:val="24"/>
        </w:rPr>
        <w:drawing>
          <wp:inline distT="0" distB="0" distL="0" distR="0">
            <wp:extent cx="5760085" cy="2933065"/>
            <wp:effectExtent l="0" t="0" r="5715" b="635"/>
            <wp:docPr id="1026" name="picture" descr="descript"/>
            <wp:cNvGraphicFramePr/>
            <a:graphic xmlns:a="http://schemas.openxmlformats.org/drawingml/2006/main">
              <a:graphicData uri="http://schemas.openxmlformats.org/drawingml/2006/picture">
                <pic:pic xmlns:pic="http://schemas.openxmlformats.org/drawingml/2006/picture">
                  <pic:nvPicPr>
                    <pic:cNvPr id="1026" name="picture" descr="descript"/>
                    <pic:cNvPicPr/>
                  </pic:nvPicPr>
                  <pic:blipFill>
                    <a:blip r:embed="rId14" cstate="print"/>
                    <a:srcRect/>
                    <a:stretch>
                      <a:fillRect/>
                    </a:stretch>
                  </pic:blipFill>
                  <pic:spPr>
                    <a:xfrm>
                      <a:off x="0" y="0"/>
                      <a:ext cx="5760085" cy="2933065"/>
                    </a:xfrm>
                    <a:prstGeom prst="rect">
                      <a:avLst/>
                    </a:prstGeom>
                  </pic:spPr>
                </pic:pic>
              </a:graphicData>
            </a:graphic>
          </wp:inline>
        </w:drawing>
      </w:r>
    </w:p>
    <w:p w14:paraId="3E1C6D76">
      <w:pPr>
        <w:adjustRightInd w:val="0"/>
        <w:snapToGrid w:val="0"/>
        <w:spacing w:line="360" w:lineRule="auto"/>
        <w:jc w:val="left"/>
        <w:rPr>
          <w:rFonts w:ascii="宋体" w:hAnsi="宋体" w:cs="宋体"/>
          <w:sz w:val="24"/>
          <w:szCs w:val="24"/>
        </w:rPr>
      </w:pPr>
      <w:r>
        <w:rPr>
          <w:rFonts w:hint="eastAsia" w:ascii="宋体" w:hAnsi="宋体" w:cs="宋体"/>
          <w:color w:val="000000"/>
          <w:sz w:val="24"/>
          <w:szCs w:val="24"/>
        </w:rPr>
        <w:t>2.</w:t>
      </w:r>
      <w:r>
        <w:rPr>
          <w:rFonts w:ascii="宋体" w:hAnsi="宋体" w:cs="宋体"/>
          <w:color w:val="000000"/>
          <w:sz w:val="24"/>
          <w:szCs w:val="24"/>
        </w:rPr>
        <w:t>填写手机号码（没有注册过的）</w:t>
      </w:r>
    </w:p>
    <w:p w14:paraId="3C5D3E96">
      <w:pPr>
        <w:adjustRightInd w:val="0"/>
        <w:snapToGrid w:val="0"/>
        <w:spacing w:line="360" w:lineRule="auto"/>
        <w:jc w:val="left"/>
        <w:rPr>
          <w:rFonts w:ascii="宋体" w:hAnsi="宋体"/>
          <w:sz w:val="24"/>
          <w:szCs w:val="24"/>
        </w:rPr>
      </w:pPr>
      <w:r>
        <w:rPr>
          <w:rFonts w:ascii="宋体" w:hAnsi="宋体"/>
          <w:sz w:val="24"/>
          <w:szCs w:val="24"/>
        </w:rPr>
        <w:drawing>
          <wp:inline distT="0" distB="0" distL="0" distR="0">
            <wp:extent cx="5760085" cy="2766695"/>
            <wp:effectExtent l="0" t="0" r="5715" b="1905"/>
            <wp:docPr id="1027" name="picture" descr="descript"/>
            <wp:cNvGraphicFramePr/>
            <a:graphic xmlns:a="http://schemas.openxmlformats.org/drawingml/2006/main">
              <a:graphicData uri="http://schemas.openxmlformats.org/drawingml/2006/picture">
                <pic:pic xmlns:pic="http://schemas.openxmlformats.org/drawingml/2006/picture">
                  <pic:nvPicPr>
                    <pic:cNvPr id="1027" name="picture" descr="descript"/>
                    <pic:cNvPicPr/>
                  </pic:nvPicPr>
                  <pic:blipFill>
                    <a:blip r:embed="rId15" cstate="print">
                      <a:lum bright="-6000"/>
                    </a:blip>
                    <a:srcRect/>
                    <a:stretch>
                      <a:fillRect/>
                    </a:stretch>
                  </pic:blipFill>
                  <pic:spPr>
                    <a:xfrm>
                      <a:off x="0" y="0"/>
                      <a:ext cx="5760085" cy="2766695"/>
                    </a:xfrm>
                    <a:prstGeom prst="rect">
                      <a:avLst/>
                    </a:prstGeom>
                  </pic:spPr>
                </pic:pic>
              </a:graphicData>
            </a:graphic>
          </wp:inline>
        </w:drawing>
      </w:r>
    </w:p>
    <w:p w14:paraId="41411B41">
      <w:pPr>
        <w:adjustRightInd w:val="0"/>
        <w:snapToGrid w:val="0"/>
        <w:spacing w:line="360" w:lineRule="auto"/>
        <w:jc w:val="left"/>
        <w:rPr>
          <w:rFonts w:ascii="宋体" w:hAnsi="宋体" w:cs="宋体"/>
          <w:sz w:val="24"/>
          <w:szCs w:val="24"/>
        </w:rPr>
      </w:pPr>
      <w:r>
        <w:rPr>
          <w:rFonts w:hint="eastAsia" w:ascii="宋体" w:hAnsi="宋体" w:cs="宋体"/>
          <w:color w:val="000000"/>
          <w:sz w:val="24"/>
          <w:szCs w:val="24"/>
        </w:rPr>
        <w:t>3.</w:t>
      </w:r>
      <w:r>
        <w:rPr>
          <w:rFonts w:ascii="宋体" w:hAnsi="宋体" w:cs="宋体"/>
          <w:color w:val="000000"/>
          <w:sz w:val="24"/>
          <w:szCs w:val="24"/>
        </w:rPr>
        <w:t>注册成功登录这个手机号码的账号进入系统，点击供应商注册</w:t>
      </w:r>
    </w:p>
    <w:p w14:paraId="5E763641">
      <w:pPr>
        <w:adjustRightInd w:val="0"/>
        <w:snapToGrid w:val="0"/>
        <w:spacing w:line="360" w:lineRule="auto"/>
        <w:jc w:val="left"/>
        <w:rPr>
          <w:rFonts w:ascii="宋体" w:hAnsi="宋体"/>
          <w:sz w:val="24"/>
          <w:szCs w:val="24"/>
        </w:rPr>
      </w:pPr>
      <w:r>
        <w:rPr>
          <w:rFonts w:ascii="宋体" w:hAnsi="宋体"/>
          <w:sz w:val="24"/>
          <w:szCs w:val="24"/>
        </w:rPr>
        <w:drawing>
          <wp:inline distT="0" distB="0" distL="0" distR="0">
            <wp:extent cx="5760085" cy="2869565"/>
            <wp:effectExtent l="0" t="0" r="5715" b="635"/>
            <wp:docPr id="1028" name="picture" descr="descript"/>
            <wp:cNvGraphicFramePr/>
            <a:graphic xmlns:a="http://schemas.openxmlformats.org/drawingml/2006/main">
              <a:graphicData uri="http://schemas.openxmlformats.org/drawingml/2006/picture">
                <pic:pic xmlns:pic="http://schemas.openxmlformats.org/drawingml/2006/picture">
                  <pic:nvPicPr>
                    <pic:cNvPr id="1028" name="picture" descr="descript"/>
                    <pic:cNvPicPr/>
                  </pic:nvPicPr>
                  <pic:blipFill>
                    <a:blip r:embed="rId16" cstate="print"/>
                    <a:srcRect/>
                    <a:stretch>
                      <a:fillRect/>
                    </a:stretch>
                  </pic:blipFill>
                  <pic:spPr>
                    <a:xfrm>
                      <a:off x="0" y="0"/>
                      <a:ext cx="5760085" cy="2869565"/>
                    </a:xfrm>
                    <a:prstGeom prst="rect">
                      <a:avLst/>
                    </a:prstGeom>
                  </pic:spPr>
                </pic:pic>
              </a:graphicData>
            </a:graphic>
          </wp:inline>
        </w:drawing>
      </w:r>
    </w:p>
    <w:p w14:paraId="2EEC4891">
      <w:pPr>
        <w:adjustRightInd w:val="0"/>
        <w:snapToGrid w:val="0"/>
        <w:spacing w:line="360" w:lineRule="auto"/>
        <w:jc w:val="left"/>
        <w:rPr>
          <w:rFonts w:ascii="宋体" w:hAnsi="宋体" w:cs="宋体"/>
          <w:sz w:val="24"/>
          <w:szCs w:val="24"/>
        </w:rPr>
      </w:pPr>
      <w:r>
        <w:rPr>
          <w:rFonts w:hint="eastAsia" w:ascii="宋体" w:hAnsi="宋体" w:cs="宋体"/>
          <w:color w:val="000000"/>
          <w:sz w:val="24"/>
          <w:szCs w:val="24"/>
        </w:rPr>
        <w:t>4.</w:t>
      </w:r>
      <w:r>
        <w:rPr>
          <w:rFonts w:ascii="宋体" w:hAnsi="宋体" w:cs="宋体"/>
          <w:color w:val="000000"/>
          <w:sz w:val="24"/>
          <w:szCs w:val="24"/>
        </w:rPr>
        <w:t>点击新增</w:t>
      </w:r>
    </w:p>
    <w:p w14:paraId="41459EAC">
      <w:pPr>
        <w:adjustRightInd w:val="0"/>
        <w:snapToGrid w:val="0"/>
        <w:spacing w:line="360" w:lineRule="auto"/>
        <w:jc w:val="left"/>
        <w:rPr>
          <w:rFonts w:ascii="宋体" w:hAnsi="宋体"/>
          <w:sz w:val="24"/>
          <w:szCs w:val="24"/>
        </w:rPr>
      </w:pPr>
      <w:r>
        <w:rPr>
          <w:rFonts w:ascii="宋体" w:hAnsi="宋体"/>
          <w:sz w:val="24"/>
          <w:szCs w:val="24"/>
        </w:rPr>
        <w:drawing>
          <wp:inline distT="0" distB="0" distL="0" distR="0">
            <wp:extent cx="5760085" cy="2853055"/>
            <wp:effectExtent l="0" t="0" r="5715" b="4445"/>
            <wp:docPr id="1029" name="picture" descr="descript"/>
            <wp:cNvGraphicFramePr/>
            <a:graphic xmlns:a="http://schemas.openxmlformats.org/drawingml/2006/main">
              <a:graphicData uri="http://schemas.openxmlformats.org/drawingml/2006/picture">
                <pic:pic xmlns:pic="http://schemas.openxmlformats.org/drawingml/2006/picture">
                  <pic:nvPicPr>
                    <pic:cNvPr id="1029" name="picture" descr="descript"/>
                    <pic:cNvPicPr/>
                  </pic:nvPicPr>
                  <pic:blipFill>
                    <a:blip r:embed="rId17" cstate="print"/>
                    <a:srcRect/>
                    <a:stretch>
                      <a:fillRect/>
                    </a:stretch>
                  </pic:blipFill>
                  <pic:spPr>
                    <a:xfrm>
                      <a:off x="0" y="0"/>
                      <a:ext cx="5760085" cy="2853055"/>
                    </a:xfrm>
                    <a:prstGeom prst="rect">
                      <a:avLst/>
                    </a:prstGeom>
                  </pic:spPr>
                </pic:pic>
              </a:graphicData>
            </a:graphic>
          </wp:inline>
        </w:drawing>
      </w:r>
    </w:p>
    <w:p w14:paraId="72CE60AA">
      <w:pPr>
        <w:numPr>
          <w:ilvl w:val="0"/>
          <w:numId w:val="33"/>
        </w:numPr>
        <w:adjustRightInd w:val="0"/>
        <w:snapToGrid w:val="0"/>
        <w:spacing w:line="360" w:lineRule="auto"/>
        <w:jc w:val="left"/>
        <w:rPr>
          <w:rFonts w:ascii="宋体" w:hAnsi="宋体" w:cs="宋体"/>
          <w:color w:val="000000"/>
          <w:sz w:val="24"/>
          <w:szCs w:val="24"/>
        </w:rPr>
      </w:pPr>
      <w:r>
        <w:rPr>
          <w:rFonts w:ascii="宋体" w:hAnsi="宋体" w:cs="宋体"/>
          <w:color w:val="000000"/>
          <w:sz w:val="24"/>
          <w:szCs w:val="24"/>
        </w:rPr>
        <w:t>按要求填写所有信息，注意非生产类要填写合作单位，最后提交审批</w:t>
      </w:r>
    </w:p>
    <w:p w14:paraId="20BCBFAE">
      <w:pPr>
        <w:pStyle w:val="15"/>
        <w:adjustRightInd w:val="0"/>
        <w:snapToGrid w:val="0"/>
        <w:spacing w:line="360" w:lineRule="auto"/>
        <w:jc w:val="left"/>
        <w:rPr>
          <w:rFonts w:hAnsi="宋体"/>
          <w:sz w:val="24"/>
          <w:szCs w:val="24"/>
        </w:rPr>
      </w:pPr>
    </w:p>
    <w:p w14:paraId="61076FD4">
      <w:pPr>
        <w:adjustRightInd w:val="0"/>
        <w:snapToGrid w:val="0"/>
        <w:spacing w:line="360" w:lineRule="auto"/>
        <w:jc w:val="left"/>
        <w:rPr>
          <w:rFonts w:ascii="宋体" w:hAnsi="宋体" w:cs="宋体"/>
          <w:color w:val="000000"/>
          <w:sz w:val="24"/>
          <w:szCs w:val="24"/>
        </w:rPr>
      </w:pPr>
    </w:p>
    <w:p w14:paraId="7025F668">
      <w:pPr>
        <w:adjustRightInd w:val="0"/>
        <w:snapToGrid w:val="0"/>
        <w:spacing w:line="360" w:lineRule="auto"/>
        <w:jc w:val="left"/>
        <w:rPr>
          <w:rFonts w:ascii="宋体" w:hAnsi="宋体"/>
          <w:sz w:val="24"/>
          <w:szCs w:val="24"/>
        </w:rPr>
      </w:pPr>
      <w:r>
        <w:rPr>
          <w:rFonts w:ascii="宋体" w:hAnsi="宋体"/>
          <w:sz w:val="24"/>
          <w:szCs w:val="24"/>
        </w:rPr>
        <w:drawing>
          <wp:inline distT="0" distB="0" distL="0" distR="0">
            <wp:extent cx="5760085" cy="2809875"/>
            <wp:effectExtent l="0" t="0" r="5715" b="9525"/>
            <wp:docPr id="1030" name="picture" descr="descript"/>
            <wp:cNvGraphicFramePr/>
            <a:graphic xmlns:a="http://schemas.openxmlformats.org/drawingml/2006/main">
              <a:graphicData uri="http://schemas.openxmlformats.org/drawingml/2006/picture">
                <pic:pic xmlns:pic="http://schemas.openxmlformats.org/drawingml/2006/picture">
                  <pic:nvPicPr>
                    <pic:cNvPr id="1030" name="picture" descr="descript"/>
                    <pic:cNvPicPr/>
                  </pic:nvPicPr>
                  <pic:blipFill>
                    <a:blip r:embed="rId18" cstate="print"/>
                    <a:srcRect/>
                    <a:stretch>
                      <a:fillRect/>
                    </a:stretch>
                  </pic:blipFill>
                  <pic:spPr>
                    <a:xfrm>
                      <a:off x="0" y="0"/>
                      <a:ext cx="5760085" cy="2809875"/>
                    </a:xfrm>
                    <a:prstGeom prst="rect">
                      <a:avLst/>
                    </a:prstGeom>
                  </pic:spPr>
                </pic:pic>
              </a:graphicData>
            </a:graphic>
          </wp:inline>
        </w:drawing>
      </w:r>
    </w:p>
    <w:p w14:paraId="2F46004B">
      <w:pPr>
        <w:pStyle w:val="15"/>
        <w:adjustRightInd w:val="0"/>
        <w:snapToGrid w:val="0"/>
        <w:spacing w:line="360" w:lineRule="auto"/>
        <w:jc w:val="left"/>
        <w:rPr>
          <w:rFonts w:hAnsi="宋体"/>
          <w:sz w:val="24"/>
          <w:szCs w:val="24"/>
        </w:rPr>
      </w:pPr>
      <w:r>
        <w:rPr>
          <w:rFonts w:hAnsi="宋体"/>
          <w:sz w:val="24"/>
          <w:szCs w:val="24"/>
        </w:rPr>
        <w:drawing>
          <wp:inline distT="0" distB="0" distL="0" distR="0">
            <wp:extent cx="5760085" cy="2820035"/>
            <wp:effectExtent l="0" t="0" r="5715" b="12065"/>
            <wp:docPr id="1031" name="picture" descr="descript"/>
            <wp:cNvGraphicFramePr/>
            <a:graphic xmlns:a="http://schemas.openxmlformats.org/drawingml/2006/main">
              <a:graphicData uri="http://schemas.openxmlformats.org/drawingml/2006/picture">
                <pic:pic xmlns:pic="http://schemas.openxmlformats.org/drawingml/2006/picture">
                  <pic:nvPicPr>
                    <pic:cNvPr id="1031" name="picture" descr="descript"/>
                    <pic:cNvPicPr/>
                  </pic:nvPicPr>
                  <pic:blipFill>
                    <a:blip r:embed="rId19" cstate="print"/>
                    <a:srcRect/>
                    <a:stretch>
                      <a:fillRect/>
                    </a:stretch>
                  </pic:blipFill>
                  <pic:spPr>
                    <a:xfrm>
                      <a:off x="0" y="0"/>
                      <a:ext cx="5760085" cy="2820035"/>
                    </a:xfrm>
                    <a:prstGeom prst="rect">
                      <a:avLst/>
                    </a:prstGeom>
                  </pic:spPr>
                </pic:pic>
              </a:graphicData>
            </a:graphic>
          </wp:inline>
        </w:drawing>
      </w:r>
    </w:p>
    <w:p w14:paraId="0F081CC1">
      <w:pPr>
        <w:pStyle w:val="15"/>
        <w:adjustRightInd w:val="0"/>
        <w:snapToGrid w:val="0"/>
        <w:spacing w:line="360" w:lineRule="auto"/>
        <w:jc w:val="left"/>
        <w:rPr>
          <w:rFonts w:hAnsi="宋体"/>
          <w:sz w:val="24"/>
          <w:szCs w:val="24"/>
        </w:rPr>
      </w:pPr>
    </w:p>
    <w:p w14:paraId="35C094B9">
      <w:pPr>
        <w:pStyle w:val="15"/>
        <w:adjustRightInd w:val="0"/>
        <w:snapToGrid w:val="0"/>
        <w:spacing w:line="360" w:lineRule="auto"/>
        <w:jc w:val="left"/>
        <w:rPr>
          <w:rFonts w:hAnsi="宋体"/>
          <w:sz w:val="24"/>
          <w:szCs w:val="24"/>
        </w:rPr>
      </w:pPr>
    </w:p>
    <w:p w14:paraId="094409B5">
      <w:pPr>
        <w:adjustRightInd w:val="0"/>
        <w:snapToGrid w:val="0"/>
        <w:spacing w:line="360" w:lineRule="auto"/>
        <w:jc w:val="left"/>
        <w:rPr>
          <w:rFonts w:ascii="宋体" w:hAnsi="宋体" w:cs="宋体"/>
          <w:b/>
          <w:bCs/>
          <w:color w:val="000000"/>
          <w:sz w:val="24"/>
          <w:szCs w:val="24"/>
        </w:rPr>
      </w:pPr>
      <w:r>
        <w:rPr>
          <w:rFonts w:hint="eastAsia" w:ascii="宋体" w:hAnsi="宋体" w:cs="宋体"/>
          <w:b/>
          <w:bCs/>
          <w:color w:val="000000"/>
          <w:sz w:val="24"/>
          <w:szCs w:val="24"/>
        </w:rPr>
        <w:t>注：</w:t>
      </w:r>
    </w:p>
    <w:p w14:paraId="78C623B2">
      <w:pPr>
        <w:adjustRightInd w:val="0"/>
        <w:snapToGrid w:val="0"/>
        <w:spacing w:line="360" w:lineRule="auto"/>
        <w:jc w:val="left"/>
        <w:rPr>
          <w:rFonts w:ascii="宋体" w:hAnsi="宋体" w:cs="宋体"/>
          <w:b/>
          <w:bCs/>
          <w:color w:val="000000"/>
          <w:sz w:val="24"/>
          <w:szCs w:val="24"/>
        </w:rPr>
      </w:pPr>
      <w:r>
        <w:rPr>
          <w:rFonts w:hint="eastAsia" w:ascii="宋体" w:hAnsi="宋体" w:cs="宋体"/>
          <w:b/>
          <w:bCs/>
          <w:color w:val="000000"/>
          <w:sz w:val="24"/>
          <w:szCs w:val="24"/>
        </w:rPr>
        <w:t>1.</w:t>
      </w:r>
      <w:r>
        <w:rPr>
          <w:rFonts w:hint="eastAsia" w:ascii="宋体" w:hAnsi="宋体"/>
          <w:b/>
          <w:bCs/>
          <w:sz w:val="24"/>
          <w:szCs w:val="24"/>
        </w:rPr>
        <w:t>“项目名称”和“采购形式编号”见第一部分的“项目介绍”；</w:t>
      </w:r>
    </w:p>
    <w:p w14:paraId="4B97893B">
      <w:pPr>
        <w:pStyle w:val="15"/>
        <w:adjustRightInd w:val="0"/>
        <w:snapToGrid w:val="0"/>
        <w:spacing w:line="360" w:lineRule="auto"/>
        <w:jc w:val="left"/>
        <w:rPr>
          <w:rFonts w:hAnsi="宋体"/>
          <w:b/>
          <w:bCs/>
          <w:sz w:val="24"/>
          <w:szCs w:val="24"/>
        </w:rPr>
      </w:pPr>
      <w:r>
        <w:rPr>
          <w:rFonts w:hint="eastAsia" w:hAnsi="宋体"/>
          <w:b/>
          <w:bCs/>
          <w:sz w:val="24"/>
          <w:szCs w:val="24"/>
        </w:rPr>
        <w:t>2.配套能力“意向合作单位”填“直管单位”；“供货类别”填“非生产招标 /工艺设备 / 工艺设备”。</w:t>
      </w:r>
    </w:p>
    <w:p w14:paraId="358D7F42">
      <w:pPr>
        <w:adjustRightInd w:val="0"/>
        <w:snapToGrid w:val="0"/>
        <w:spacing w:line="360" w:lineRule="auto"/>
        <w:jc w:val="left"/>
        <w:rPr>
          <w:rFonts w:ascii="宋体" w:hAnsi="宋体" w:cs="宋体"/>
          <w:b/>
          <w:bCs/>
          <w:color w:val="000000"/>
          <w:sz w:val="24"/>
          <w:szCs w:val="24"/>
        </w:rPr>
      </w:pPr>
      <w:r>
        <w:rPr>
          <w:rFonts w:hint="eastAsia" w:ascii="宋体" w:hAnsi="宋体" w:cs="宋体"/>
          <w:b/>
          <w:bCs/>
          <w:color w:val="000000"/>
          <w:sz w:val="24"/>
          <w:szCs w:val="24"/>
        </w:rPr>
        <w:br w:type="page"/>
      </w:r>
    </w:p>
    <w:p w14:paraId="30196486">
      <w:pPr>
        <w:pStyle w:val="72"/>
        <w:numPr>
          <w:ilvl w:val="0"/>
          <w:numId w:val="0"/>
        </w:numPr>
        <w:adjustRightInd w:val="0"/>
        <w:snapToGrid w:val="0"/>
        <w:jc w:val="left"/>
        <w:outlineLvl w:val="9"/>
        <w:rPr>
          <w:rFonts w:ascii="宋体" w:hAnsi="宋体" w:eastAsia="宋体" w:cs="宋体"/>
          <w:sz w:val="24"/>
          <w:szCs w:val="24"/>
        </w:rPr>
      </w:pPr>
      <w:r>
        <w:rPr>
          <w:rFonts w:hint="eastAsia" w:ascii="宋体" w:hAnsi="宋体" w:eastAsia="宋体" w:cs="宋体"/>
          <w:sz w:val="24"/>
          <w:szCs w:val="24"/>
        </w:rPr>
        <w:t>附件</w:t>
      </w:r>
      <w:r>
        <w:rPr>
          <w:rFonts w:ascii="宋体" w:hAnsi="宋体" w:eastAsia="宋体" w:cs="宋体"/>
          <w:sz w:val="24"/>
          <w:szCs w:val="24"/>
        </w:rPr>
        <w:t>8</w:t>
      </w:r>
      <w:r>
        <w:rPr>
          <w:rFonts w:hint="eastAsia" w:ascii="宋体" w:hAnsi="宋体" w:eastAsia="宋体" w:cs="宋体"/>
          <w:sz w:val="24"/>
          <w:szCs w:val="24"/>
        </w:rPr>
        <w:t xml:space="preserve"> SRM系统供应商用户手册</w:t>
      </w:r>
    </w:p>
    <w:p w14:paraId="6C5343E2">
      <w:pPr>
        <w:adjustRightInd w:val="0"/>
        <w:snapToGrid w:val="0"/>
        <w:spacing w:line="360" w:lineRule="auto"/>
        <w:jc w:val="left"/>
        <w:rPr>
          <w:rFonts w:ascii="宋体" w:hAnsi="宋体" w:cs="宋体"/>
          <w:sz w:val="24"/>
          <w:szCs w:val="24"/>
        </w:rPr>
      </w:pPr>
      <w:r>
        <w:rPr>
          <w:rFonts w:hint="eastAsia" w:ascii="宋体" w:hAnsi="宋体" w:cs="宋体"/>
          <w:color w:val="000000"/>
          <w:sz w:val="24"/>
          <w:szCs w:val="24"/>
        </w:rPr>
        <w:t>系统网址：</w:t>
      </w:r>
      <w:r>
        <w:fldChar w:fldCharType="begin"/>
      </w:r>
      <w:r>
        <w:instrText xml:space="preserve"> HYPERLINK "http://ecaitong.sinotruk.com:8012/" \t "dlt" </w:instrText>
      </w:r>
      <w:r>
        <w:fldChar w:fldCharType="separate"/>
      </w:r>
      <w:r>
        <w:rPr>
          <w:rStyle w:val="38"/>
          <w:rFonts w:hint="eastAsia" w:ascii="宋体" w:hAnsi="宋体" w:cs="宋体"/>
          <w:sz w:val="24"/>
          <w:szCs w:val="24"/>
        </w:rPr>
        <w:t>https://ecaitong.sinotruk.com:8012/</w:t>
      </w:r>
      <w:r>
        <w:rPr>
          <w:rStyle w:val="38"/>
          <w:rFonts w:hint="eastAsia" w:ascii="宋体" w:hAnsi="宋体" w:cs="宋体"/>
          <w:sz w:val="24"/>
          <w:szCs w:val="24"/>
        </w:rPr>
        <w:fldChar w:fldCharType="end"/>
      </w:r>
    </w:p>
    <w:p w14:paraId="19F0B658">
      <w:pPr>
        <w:adjustRightInd w:val="0"/>
        <w:snapToGrid w:val="0"/>
        <w:spacing w:line="360" w:lineRule="auto"/>
        <w:jc w:val="left"/>
        <w:rPr>
          <w:rFonts w:ascii="宋体" w:hAnsi="宋体" w:cs="宋体"/>
          <w:b/>
          <w:bCs/>
          <w:color w:val="000000"/>
          <w:sz w:val="24"/>
          <w:szCs w:val="24"/>
        </w:rPr>
      </w:pPr>
      <w:r>
        <w:rPr>
          <w:rFonts w:hint="eastAsia" w:ascii="宋体" w:hAnsi="宋体" w:cs="宋体"/>
          <w:b/>
          <w:bCs/>
          <w:color w:val="000000"/>
          <w:sz w:val="24"/>
          <w:szCs w:val="24"/>
        </w:rPr>
        <w:t>1.供应商应标</w:t>
      </w:r>
    </w:p>
    <w:p w14:paraId="52CCF3C0">
      <w:pPr>
        <w:adjustRightInd w:val="0"/>
        <w:snapToGrid w:val="0"/>
        <w:spacing w:line="360" w:lineRule="auto"/>
        <w:jc w:val="left"/>
        <w:rPr>
          <w:rFonts w:ascii="宋体" w:hAnsi="宋体" w:cs="宋体"/>
          <w:sz w:val="24"/>
          <w:szCs w:val="24"/>
        </w:rPr>
      </w:pPr>
      <w:r>
        <w:rPr>
          <w:rFonts w:ascii="宋体" w:hAnsi="宋体" w:cs="宋体"/>
          <w:color w:val="000000"/>
          <w:sz w:val="24"/>
          <w:szCs w:val="24"/>
        </w:rPr>
        <w:t>路径：招投标中心</w:t>
      </w:r>
      <w:r>
        <w:rPr>
          <w:rFonts w:hint="eastAsia" w:ascii="宋体" w:hAnsi="宋体" w:cs="宋体"/>
          <w:color w:val="000000"/>
          <w:sz w:val="24"/>
          <w:szCs w:val="24"/>
        </w:rPr>
        <w:t>-</w:t>
      </w:r>
      <w:r>
        <w:rPr>
          <w:rFonts w:ascii="宋体" w:hAnsi="宋体" w:cs="宋体"/>
          <w:color w:val="000000"/>
          <w:sz w:val="24"/>
          <w:szCs w:val="24"/>
        </w:rPr>
        <w:t>非生产类招投标</w:t>
      </w:r>
      <w:r>
        <w:rPr>
          <w:rFonts w:hint="eastAsia" w:ascii="宋体" w:hAnsi="宋体" w:cs="宋体"/>
          <w:color w:val="000000"/>
          <w:sz w:val="24"/>
          <w:szCs w:val="24"/>
        </w:rPr>
        <w:t>-</w:t>
      </w:r>
      <w:r>
        <w:rPr>
          <w:rFonts w:ascii="宋体" w:hAnsi="宋体" w:cs="宋体"/>
          <w:color w:val="000000"/>
          <w:sz w:val="24"/>
          <w:szCs w:val="24"/>
        </w:rPr>
        <w:t>供应商应标</w:t>
      </w:r>
    </w:p>
    <w:p w14:paraId="1B5249DE">
      <w:pPr>
        <w:adjustRightInd w:val="0"/>
        <w:snapToGrid w:val="0"/>
        <w:spacing w:line="360" w:lineRule="auto"/>
        <w:jc w:val="left"/>
        <w:rPr>
          <w:rFonts w:ascii="宋体" w:hAnsi="宋体" w:cs="宋体"/>
          <w:color w:val="000000"/>
          <w:sz w:val="24"/>
          <w:szCs w:val="24"/>
        </w:rPr>
      </w:pPr>
      <w:r>
        <w:rPr>
          <w:rFonts w:ascii="宋体" w:hAnsi="宋体" w:cs="宋体"/>
          <w:color w:val="000000"/>
          <w:sz w:val="24"/>
          <w:szCs w:val="24"/>
        </w:rPr>
        <w:t>点击应标，上传文件之后点击提交。</w:t>
      </w:r>
    </w:p>
    <w:p w14:paraId="55B99745">
      <w:pPr>
        <w:adjustRightInd w:val="0"/>
        <w:snapToGrid w:val="0"/>
        <w:spacing w:line="360" w:lineRule="auto"/>
        <w:jc w:val="left"/>
        <w:rPr>
          <w:rFonts w:ascii="宋体" w:hAnsi="宋体"/>
          <w:sz w:val="24"/>
          <w:szCs w:val="24"/>
        </w:rPr>
      </w:pPr>
      <w:r>
        <w:rPr>
          <w:rFonts w:ascii="宋体" w:hAnsi="宋体"/>
          <w:sz w:val="24"/>
          <w:szCs w:val="24"/>
        </w:rPr>
        <w:drawing>
          <wp:inline distT="0" distB="0" distL="0" distR="0">
            <wp:extent cx="5760085" cy="2269490"/>
            <wp:effectExtent l="0" t="0" r="12065" b="16510"/>
            <wp:docPr id="25" name="picture" descr="descript"/>
            <wp:cNvGraphicFramePr/>
            <a:graphic xmlns:a="http://schemas.openxmlformats.org/drawingml/2006/main">
              <a:graphicData uri="http://schemas.openxmlformats.org/drawingml/2006/picture">
                <pic:pic xmlns:pic="http://schemas.openxmlformats.org/drawingml/2006/picture">
                  <pic:nvPicPr>
                    <pic:cNvPr id="25" name="picture" descr="descript"/>
                    <pic:cNvPicPr/>
                  </pic:nvPicPr>
                  <pic:blipFill>
                    <a:blip r:embed="rId20"/>
                    <a:stretch>
                      <a:fillRect/>
                    </a:stretch>
                  </pic:blipFill>
                  <pic:spPr>
                    <a:xfrm>
                      <a:off x="0" y="0"/>
                      <a:ext cx="5760085" cy="2269864"/>
                    </a:xfrm>
                    <a:prstGeom prst="rect">
                      <a:avLst/>
                    </a:prstGeom>
                  </pic:spPr>
                </pic:pic>
              </a:graphicData>
            </a:graphic>
          </wp:inline>
        </w:drawing>
      </w:r>
    </w:p>
    <w:p w14:paraId="7EE8EEC0">
      <w:pPr>
        <w:adjustRightInd w:val="0"/>
        <w:snapToGrid w:val="0"/>
        <w:spacing w:line="360" w:lineRule="auto"/>
        <w:jc w:val="left"/>
        <w:rPr>
          <w:rFonts w:ascii="宋体" w:hAnsi="宋体"/>
          <w:sz w:val="24"/>
          <w:szCs w:val="24"/>
        </w:rPr>
      </w:pPr>
    </w:p>
    <w:p w14:paraId="3170290A">
      <w:pPr>
        <w:adjustRightInd w:val="0"/>
        <w:snapToGrid w:val="0"/>
        <w:spacing w:line="360" w:lineRule="auto"/>
        <w:jc w:val="left"/>
        <w:rPr>
          <w:rFonts w:ascii="宋体" w:hAnsi="宋体" w:cs="宋体"/>
          <w:b/>
          <w:bCs/>
          <w:color w:val="000000"/>
          <w:sz w:val="24"/>
          <w:szCs w:val="24"/>
        </w:rPr>
      </w:pPr>
      <w:r>
        <w:rPr>
          <w:rFonts w:hint="eastAsia" w:ascii="宋体" w:hAnsi="宋体" w:cs="宋体"/>
          <w:b/>
          <w:bCs/>
          <w:color w:val="000000"/>
          <w:sz w:val="24"/>
          <w:szCs w:val="24"/>
        </w:rPr>
        <w:t>2.供应商投标</w:t>
      </w:r>
    </w:p>
    <w:p w14:paraId="7712833C">
      <w:pPr>
        <w:adjustRightInd w:val="0"/>
        <w:snapToGrid w:val="0"/>
        <w:spacing w:line="360" w:lineRule="auto"/>
        <w:jc w:val="left"/>
        <w:rPr>
          <w:rFonts w:ascii="宋体" w:hAnsi="宋体" w:cs="宋体"/>
          <w:sz w:val="24"/>
          <w:szCs w:val="24"/>
        </w:rPr>
      </w:pPr>
      <w:r>
        <w:rPr>
          <w:rFonts w:ascii="宋体" w:hAnsi="宋体" w:cs="宋体"/>
          <w:color w:val="000000"/>
          <w:sz w:val="24"/>
          <w:szCs w:val="24"/>
        </w:rPr>
        <w:t>路径：招投标中心</w:t>
      </w:r>
      <w:r>
        <w:rPr>
          <w:rFonts w:hint="eastAsia" w:ascii="宋体" w:hAnsi="宋体" w:cs="宋体"/>
          <w:color w:val="000000"/>
          <w:sz w:val="24"/>
          <w:szCs w:val="24"/>
        </w:rPr>
        <w:t>-</w:t>
      </w:r>
      <w:r>
        <w:rPr>
          <w:rFonts w:ascii="宋体" w:hAnsi="宋体" w:cs="宋体"/>
          <w:color w:val="000000"/>
          <w:sz w:val="24"/>
          <w:szCs w:val="24"/>
        </w:rPr>
        <w:t>非生产类招投标</w:t>
      </w:r>
      <w:r>
        <w:rPr>
          <w:rFonts w:hint="eastAsia" w:ascii="宋体" w:hAnsi="宋体" w:cs="宋体"/>
          <w:color w:val="000000"/>
          <w:sz w:val="24"/>
          <w:szCs w:val="24"/>
        </w:rPr>
        <w:t>-</w:t>
      </w:r>
      <w:r>
        <w:rPr>
          <w:rFonts w:ascii="宋体" w:hAnsi="宋体" w:cs="宋体"/>
          <w:color w:val="000000"/>
          <w:sz w:val="24"/>
          <w:szCs w:val="24"/>
        </w:rPr>
        <w:t>供应商投标</w:t>
      </w:r>
    </w:p>
    <w:p w14:paraId="79A46EE1">
      <w:pPr>
        <w:adjustRightInd w:val="0"/>
        <w:snapToGrid w:val="0"/>
        <w:spacing w:line="360" w:lineRule="auto"/>
        <w:jc w:val="left"/>
        <w:rPr>
          <w:rFonts w:ascii="宋体" w:hAnsi="宋体" w:cs="宋体"/>
          <w:color w:val="000000"/>
          <w:sz w:val="24"/>
          <w:szCs w:val="24"/>
        </w:rPr>
      </w:pPr>
      <w:r>
        <w:rPr>
          <w:rFonts w:ascii="宋体" w:hAnsi="宋体" w:cs="宋体"/>
          <w:color w:val="000000"/>
          <w:sz w:val="24"/>
          <w:szCs w:val="24"/>
        </w:rPr>
        <w:drawing>
          <wp:inline distT="0" distB="0" distL="0" distR="0">
            <wp:extent cx="5760085" cy="2125345"/>
            <wp:effectExtent l="0" t="0" r="12065" b="8255"/>
            <wp:docPr id="26" name="picture" descr="descript"/>
            <wp:cNvGraphicFramePr/>
            <a:graphic xmlns:a="http://schemas.openxmlformats.org/drawingml/2006/main">
              <a:graphicData uri="http://schemas.openxmlformats.org/drawingml/2006/picture">
                <pic:pic xmlns:pic="http://schemas.openxmlformats.org/drawingml/2006/picture">
                  <pic:nvPicPr>
                    <pic:cNvPr id="26" name="picture" descr="descript"/>
                    <pic:cNvPicPr/>
                  </pic:nvPicPr>
                  <pic:blipFill>
                    <a:blip r:embed="rId21"/>
                    <a:stretch>
                      <a:fillRect/>
                    </a:stretch>
                  </pic:blipFill>
                  <pic:spPr>
                    <a:xfrm>
                      <a:off x="0" y="0"/>
                      <a:ext cx="5760085" cy="2125673"/>
                    </a:xfrm>
                    <a:prstGeom prst="rect">
                      <a:avLst/>
                    </a:prstGeom>
                  </pic:spPr>
                </pic:pic>
              </a:graphicData>
            </a:graphic>
          </wp:inline>
        </w:drawing>
      </w:r>
    </w:p>
    <w:p w14:paraId="0C0509B0">
      <w:pPr>
        <w:adjustRightInd w:val="0"/>
        <w:snapToGrid w:val="0"/>
        <w:spacing w:line="360" w:lineRule="auto"/>
        <w:jc w:val="left"/>
        <w:rPr>
          <w:rFonts w:ascii="宋体" w:hAnsi="宋体" w:cs="宋体"/>
          <w:color w:val="000000"/>
          <w:sz w:val="24"/>
          <w:szCs w:val="24"/>
        </w:rPr>
      </w:pPr>
      <w:r>
        <w:rPr>
          <w:rFonts w:ascii="宋体" w:hAnsi="宋体" w:cs="宋体"/>
          <w:color w:val="000000"/>
          <w:sz w:val="24"/>
          <w:szCs w:val="24"/>
        </w:rPr>
        <w:t>点击投标按钮，进入详情页，输入投标报价并上传相应的附件。</w:t>
      </w:r>
    </w:p>
    <w:p w14:paraId="07B28A51">
      <w:pPr>
        <w:pStyle w:val="15"/>
        <w:adjustRightInd w:val="0"/>
        <w:snapToGrid w:val="0"/>
        <w:spacing w:line="360" w:lineRule="auto"/>
        <w:jc w:val="left"/>
        <w:rPr>
          <w:rFonts w:hAnsi="宋体"/>
          <w:b/>
          <w:bCs/>
          <w:sz w:val="24"/>
          <w:szCs w:val="24"/>
        </w:rPr>
      </w:pPr>
      <w:r>
        <w:rPr>
          <w:rFonts w:hint="eastAsia" w:hAnsi="宋体" w:cs="宋体"/>
          <w:b/>
          <w:bCs/>
          <w:color w:val="000000"/>
          <w:sz w:val="24"/>
          <w:szCs w:val="24"/>
        </w:rPr>
        <w:t>注意：系统内的投标报价单位为“万元”，如开标现场发现填错报价，即直接淘汰。</w:t>
      </w:r>
    </w:p>
    <w:p w14:paraId="45550386">
      <w:pPr>
        <w:pStyle w:val="7"/>
        <w:adjustRightInd w:val="0"/>
        <w:snapToGrid w:val="0"/>
        <w:jc w:val="left"/>
        <w:rPr>
          <w:rFonts w:ascii="宋体" w:hAnsi="宋体" w:cs="Arial"/>
          <w:color w:val="000000"/>
          <w:sz w:val="24"/>
          <w:szCs w:val="24"/>
        </w:rPr>
      </w:pPr>
      <w:r>
        <w:rPr>
          <w:rFonts w:ascii="宋体" w:hAnsi="宋体" w:cs="Arial"/>
          <w:color w:val="000000"/>
          <w:sz w:val="24"/>
          <w:szCs w:val="24"/>
        </w:rPr>
        <w:drawing>
          <wp:inline distT="0" distB="0" distL="0" distR="0">
            <wp:extent cx="5490210" cy="2668905"/>
            <wp:effectExtent l="0" t="0" r="15240" b="17145"/>
            <wp:docPr id="27" name="picture" descr="descript"/>
            <wp:cNvGraphicFramePr/>
            <a:graphic xmlns:a="http://schemas.openxmlformats.org/drawingml/2006/main">
              <a:graphicData uri="http://schemas.openxmlformats.org/drawingml/2006/picture">
                <pic:pic xmlns:pic="http://schemas.openxmlformats.org/drawingml/2006/picture">
                  <pic:nvPicPr>
                    <pic:cNvPr id="27" name="picture" descr="descript"/>
                    <pic:cNvPicPr/>
                  </pic:nvPicPr>
                  <pic:blipFill>
                    <a:blip r:embed="rId22"/>
                    <a:stretch>
                      <a:fillRect/>
                    </a:stretch>
                  </pic:blipFill>
                  <pic:spPr>
                    <a:xfrm>
                      <a:off x="0" y="0"/>
                      <a:ext cx="5490210" cy="2669498"/>
                    </a:xfrm>
                    <a:prstGeom prst="rect">
                      <a:avLst/>
                    </a:prstGeom>
                  </pic:spPr>
                </pic:pic>
              </a:graphicData>
            </a:graphic>
          </wp:inline>
        </w:drawing>
      </w:r>
    </w:p>
    <w:p w14:paraId="6376B812">
      <w:pPr>
        <w:adjustRightInd w:val="0"/>
        <w:snapToGrid w:val="0"/>
        <w:spacing w:line="360" w:lineRule="auto"/>
        <w:jc w:val="left"/>
        <w:rPr>
          <w:rFonts w:ascii="宋体" w:hAnsi="宋体" w:cs="宋体"/>
          <w:b/>
          <w:bCs/>
          <w:color w:val="000000"/>
          <w:sz w:val="24"/>
          <w:szCs w:val="24"/>
        </w:rPr>
      </w:pPr>
      <w:r>
        <w:rPr>
          <w:rFonts w:hint="eastAsia" w:ascii="宋体" w:hAnsi="宋体" w:cs="宋体"/>
          <w:b/>
          <w:bCs/>
          <w:color w:val="000000"/>
          <w:sz w:val="24"/>
          <w:szCs w:val="24"/>
        </w:rPr>
        <w:t>3.供应商技术标澄清函</w:t>
      </w:r>
    </w:p>
    <w:p w14:paraId="70118F18">
      <w:pPr>
        <w:adjustRightInd w:val="0"/>
        <w:snapToGrid w:val="0"/>
        <w:spacing w:line="360" w:lineRule="auto"/>
        <w:jc w:val="left"/>
        <w:rPr>
          <w:rFonts w:ascii="宋体" w:hAnsi="宋体" w:cs="宋体"/>
          <w:sz w:val="24"/>
          <w:szCs w:val="24"/>
        </w:rPr>
      </w:pPr>
      <w:r>
        <w:rPr>
          <w:rFonts w:ascii="宋体" w:hAnsi="宋体" w:cs="宋体"/>
          <w:color w:val="000000"/>
          <w:sz w:val="24"/>
          <w:szCs w:val="24"/>
        </w:rPr>
        <w:t>路径：招投标中心</w:t>
      </w:r>
      <w:r>
        <w:rPr>
          <w:rFonts w:hint="eastAsia" w:ascii="宋体" w:hAnsi="宋体" w:cs="宋体"/>
          <w:color w:val="000000"/>
          <w:sz w:val="24"/>
          <w:szCs w:val="24"/>
        </w:rPr>
        <w:t>-</w:t>
      </w:r>
      <w:r>
        <w:rPr>
          <w:rFonts w:ascii="宋体" w:hAnsi="宋体" w:cs="宋体"/>
          <w:color w:val="000000"/>
          <w:sz w:val="24"/>
          <w:szCs w:val="24"/>
        </w:rPr>
        <w:t>非生产类招投标</w:t>
      </w:r>
      <w:r>
        <w:rPr>
          <w:rFonts w:hint="eastAsia" w:ascii="宋体" w:hAnsi="宋体" w:cs="宋体"/>
          <w:color w:val="000000"/>
          <w:sz w:val="24"/>
          <w:szCs w:val="24"/>
        </w:rPr>
        <w:t>-</w:t>
      </w:r>
      <w:r>
        <w:rPr>
          <w:rFonts w:ascii="宋体" w:hAnsi="宋体" w:cs="宋体"/>
          <w:color w:val="000000"/>
          <w:sz w:val="24"/>
          <w:szCs w:val="24"/>
        </w:rPr>
        <w:t>供应商技术标澄清函</w:t>
      </w:r>
    </w:p>
    <w:p w14:paraId="24FAF68F">
      <w:pPr>
        <w:adjustRightInd w:val="0"/>
        <w:snapToGrid w:val="0"/>
        <w:spacing w:line="360" w:lineRule="auto"/>
        <w:jc w:val="left"/>
        <w:rPr>
          <w:rFonts w:ascii="宋体" w:hAnsi="宋体" w:cs="宋体"/>
          <w:sz w:val="24"/>
          <w:szCs w:val="24"/>
        </w:rPr>
      </w:pPr>
      <w:r>
        <w:rPr>
          <w:rFonts w:ascii="宋体" w:hAnsi="宋体" w:cs="宋体"/>
          <w:color w:val="000000"/>
          <w:sz w:val="24"/>
          <w:szCs w:val="24"/>
        </w:rPr>
        <w:t>点击编辑按钮进入系统，上传技术标澄清函。</w:t>
      </w:r>
    </w:p>
    <w:p w14:paraId="3BBCB5FB">
      <w:pPr>
        <w:adjustRightInd w:val="0"/>
        <w:snapToGrid w:val="0"/>
        <w:spacing w:line="360" w:lineRule="auto"/>
        <w:jc w:val="left"/>
        <w:rPr>
          <w:rFonts w:ascii="宋体" w:hAnsi="宋体" w:cs="Arial"/>
          <w:color w:val="000000"/>
          <w:sz w:val="24"/>
          <w:szCs w:val="24"/>
        </w:rPr>
      </w:pPr>
      <w:r>
        <w:rPr>
          <w:rFonts w:ascii="宋体" w:hAnsi="宋体" w:cs="宋体"/>
          <w:color w:val="000000"/>
          <w:sz w:val="24"/>
          <w:szCs w:val="24"/>
        </w:rPr>
        <w:t>开标之后所有投标的供应商都可编辑提交，技术标入围之后</w:t>
      </w:r>
      <w:r>
        <w:rPr>
          <w:rFonts w:hint="eastAsia" w:ascii="宋体" w:hAnsi="宋体" w:cs="宋体"/>
          <w:color w:val="000000"/>
          <w:sz w:val="24"/>
          <w:szCs w:val="24"/>
        </w:rPr>
        <w:t xml:space="preserve"> </w:t>
      </w:r>
      <w:r>
        <w:rPr>
          <w:rFonts w:ascii="宋体" w:hAnsi="宋体" w:cs="宋体"/>
          <w:color w:val="000000"/>
          <w:sz w:val="24"/>
          <w:szCs w:val="24"/>
        </w:rPr>
        <w:t>都不可编辑</w:t>
      </w:r>
      <w:r>
        <w:rPr>
          <w:rFonts w:ascii="宋体" w:hAnsi="宋体" w:cs="Arial"/>
          <w:color w:val="000000"/>
          <w:sz w:val="24"/>
          <w:szCs w:val="24"/>
        </w:rPr>
        <w:drawing>
          <wp:inline distT="0" distB="0" distL="0" distR="0">
            <wp:extent cx="5490210" cy="1992630"/>
            <wp:effectExtent l="0" t="0" r="15240" b="7620"/>
            <wp:docPr id="28" name="picture" descr="descript"/>
            <wp:cNvGraphicFramePr/>
            <a:graphic xmlns:a="http://schemas.openxmlformats.org/drawingml/2006/main">
              <a:graphicData uri="http://schemas.openxmlformats.org/drawingml/2006/picture">
                <pic:pic xmlns:pic="http://schemas.openxmlformats.org/drawingml/2006/picture">
                  <pic:nvPicPr>
                    <pic:cNvPr id="28" name="picture" descr="descript"/>
                    <pic:cNvPicPr/>
                  </pic:nvPicPr>
                  <pic:blipFill>
                    <a:blip r:embed="rId23"/>
                    <a:stretch>
                      <a:fillRect/>
                    </a:stretch>
                  </pic:blipFill>
                  <pic:spPr>
                    <a:xfrm>
                      <a:off x="0" y="0"/>
                      <a:ext cx="5490210" cy="1992743"/>
                    </a:xfrm>
                    <a:prstGeom prst="rect">
                      <a:avLst/>
                    </a:prstGeom>
                  </pic:spPr>
                </pic:pic>
              </a:graphicData>
            </a:graphic>
          </wp:inline>
        </w:drawing>
      </w:r>
    </w:p>
    <w:p w14:paraId="1E4834D3">
      <w:pPr>
        <w:adjustRightInd w:val="0"/>
        <w:snapToGrid w:val="0"/>
        <w:spacing w:line="360" w:lineRule="auto"/>
        <w:jc w:val="left"/>
        <w:rPr>
          <w:rFonts w:ascii="宋体" w:hAnsi="宋体" w:cs="宋体"/>
          <w:b/>
          <w:bCs/>
          <w:color w:val="000000"/>
          <w:sz w:val="24"/>
          <w:szCs w:val="24"/>
        </w:rPr>
      </w:pPr>
      <w:r>
        <w:rPr>
          <w:rFonts w:hint="eastAsia" w:ascii="宋体" w:hAnsi="宋体" w:cs="宋体"/>
          <w:b/>
          <w:bCs/>
          <w:color w:val="000000"/>
          <w:sz w:val="24"/>
          <w:szCs w:val="24"/>
        </w:rPr>
        <w:t>4.供应商报价</w:t>
      </w:r>
    </w:p>
    <w:p w14:paraId="07F5CF7F">
      <w:pPr>
        <w:adjustRightInd w:val="0"/>
        <w:snapToGrid w:val="0"/>
        <w:spacing w:line="360" w:lineRule="auto"/>
        <w:jc w:val="left"/>
        <w:rPr>
          <w:rFonts w:ascii="宋体" w:hAnsi="宋体" w:cs="宋体"/>
          <w:sz w:val="24"/>
          <w:szCs w:val="24"/>
        </w:rPr>
      </w:pPr>
      <w:r>
        <w:rPr>
          <w:rFonts w:ascii="宋体" w:hAnsi="宋体" w:cs="宋体"/>
          <w:color w:val="000000"/>
          <w:sz w:val="24"/>
          <w:szCs w:val="24"/>
        </w:rPr>
        <w:t>路径：招投标中心</w:t>
      </w:r>
      <w:r>
        <w:rPr>
          <w:rFonts w:hint="eastAsia" w:ascii="宋体" w:hAnsi="宋体" w:cs="宋体"/>
          <w:color w:val="000000"/>
          <w:sz w:val="24"/>
          <w:szCs w:val="24"/>
        </w:rPr>
        <w:t>-</w:t>
      </w:r>
      <w:r>
        <w:rPr>
          <w:rFonts w:ascii="宋体" w:hAnsi="宋体" w:cs="宋体"/>
          <w:color w:val="000000"/>
          <w:sz w:val="24"/>
          <w:szCs w:val="24"/>
        </w:rPr>
        <w:t>非生产类招投标</w:t>
      </w:r>
      <w:r>
        <w:rPr>
          <w:rFonts w:hint="eastAsia" w:ascii="宋体" w:hAnsi="宋体" w:cs="宋体"/>
          <w:color w:val="000000"/>
          <w:sz w:val="24"/>
          <w:szCs w:val="24"/>
        </w:rPr>
        <w:t>-</w:t>
      </w:r>
      <w:r>
        <w:rPr>
          <w:rFonts w:ascii="宋体" w:hAnsi="宋体" w:cs="宋体"/>
          <w:color w:val="000000"/>
          <w:sz w:val="24"/>
          <w:szCs w:val="24"/>
        </w:rPr>
        <w:t>供应商报价</w:t>
      </w:r>
    </w:p>
    <w:p w14:paraId="3C1CA935">
      <w:pPr>
        <w:adjustRightInd w:val="0"/>
        <w:snapToGrid w:val="0"/>
        <w:spacing w:line="360" w:lineRule="auto"/>
        <w:jc w:val="left"/>
        <w:rPr>
          <w:rFonts w:ascii="宋体" w:hAnsi="宋体" w:cs="宋体"/>
          <w:sz w:val="24"/>
          <w:szCs w:val="24"/>
        </w:rPr>
      </w:pPr>
      <w:r>
        <w:rPr>
          <w:rFonts w:ascii="宋体" w:hAnsi="宋体" w:cs="宋体"/>
          <w:color w:val="000000"/>
          <w:sz w:val="24"/>
          <w:szCs w:val="24"/>
        </w:rPr>
        <w:t>点击报价按钮进入报价详情界面，请在此轮报价起止时间内报价，否则无法报价。</w:t>
      </w:r>
    </w:p>
    <w:p w14:paraId="6C4E6870">
      <w:pPr>
        <w:adjustRightInd w:val="0"/>
        <w:snapToGrid w:val="0"/>
        <w:spacing w:line="360" w:lineRule="auto"/>
        <w:jc w:val="left"/>
        <w:rPr>
          <w:rFonts w:ascii="宋体" w:hAnsi="宋体" w:cs="宋体"/>
          <w:b/>
          <w:bCs/>
          <w:color w:val="000000"/>
          <w:sz w:val="24"/>
          <w:szCs w:val="24"/>
        </w:rPr>
      </w:pPr>
      <w:r>
        <w:rPr>
          <w:rFonts w:hint="eastAsia" w:ascii="宋体" w:hAnsi="宋体" w:cs="宋体"/>
          <w:b/>
          <w:bCs/>
          <w:color w:val="000000"/>
          <w:sz w:val="24"/>
          <w:szCs w:val="24"/>
        </w:rPr>
        <w:t>5.供应商澄清报价</w:t>
      </w:r>
    </w:p>
    <w:p w14:paraId="52A4801B">
      <w:pPr>
        <w:adjustRightInd w:val="0"/>
        <w:snapToGrid w:val="0"/>
        <w:spacing w:line="360" w:lineRule="auto"/>
        <w:jc w:val="left"/>
        <w:rPr>
          <w:rFonts w:ascii="宋体" w:hAnsi="宋体" w:cs="宋体"/>
          <w:sz w:val="24"/>
          <w:szCs w:val="24"/>
        </w:rPr>
      </w:pPr>
      <w:r>
        <w:rPr>
          <w:rFonts w:ascii="宋体" w:hAnsi="宋体" w:cs="宋体"/>
          <w:color w:val="000000"/>
          <w:sz w:val="24"/>
          <w:szCs w:val="24"/>
        </w:rPr>
        <w:t>路径：招投标中心</w:t>
      </w:r>
      <w:r>
        <w:rPr>
          <w:rFonts w:hint="eastAsia" w:ascii="宋体" w:hAnsi="宋体" w:cs="宋体"/>
          <w:color w:val="000000"/>
          <w:sz w:val="24"/>
          <w:szCs w:val="24"/>
        </w:rPr>
        <w:t>-</w:t>
      </w:r>
      <w:r>
        <w:rPr>
          <w:rFonts w:ascii="宋体" w:hAnsi="宋体" w:cs="宋体"/>
          <w:color w:val="000000"/>
          <w:sz w:val="24"/>
          <w:szCs w:val="24"/>
        </w:rPr>
        <w:t>非生产类招投标</w:t>
      </w:r>
      <w:r>
        <w:rPr>
          <w:rFonts w:hint="eastAsia" w:ascii="宋体" w:hAnsi="宋体" w:cs="宋体"/>
          <w:color w:val="000000"/>
          <w:sz w:val="24"/>
          <w:szCs w:val="24"/>
        </w:rPr>
        <w:t>-</w:t>
      </w:r>
      <w:r>
        <w:rPr>
          <w:rFonts w:ascii="宋体" w:hAnsi="宋体" w:cs="宋体"/>
          <w:color w:val="000000"/>
          <w:sz w:val="24"/>
          <w:szCs w:val="24"/>
        </w:rPr>
        <w:t>供应商澄清报价</w:t>
      </w:r>
    </w:p>
    <w:p w14:paraId="267D2525">
      <w:pPr>
        <w:adjustRightInd w:val="0"/>
        <w:snapToGrid w:val="0"/>
        <w:spacing w:line="360" w:lineRule="auto"/>
        <w:jc w:val="left"/>
        <w:rPr>
          <w:rFonts w:ascii="宋体" w:hAnsi="宋体" w:cs="宋体"/>
          <w:sz w:val="24"/>
          <w:szCs w:val="24"/>
        </w:rPr>
      </w:pPr>
      <w:r>
        <w:rPr>
          <w:rFonts w:ascii="宋体" w:hAnsi="宋体" w:cs="宋体"/>
          <w:color w:val="000000"/>
          <w:sz w:val="24"/>
          <w:szCs w:val="24"/>
        </w:rPr>
        <w:t>招标发起人接收建议价的同时会给供应商发送澄清报价，供应商在此界面进行澄清报价，点击编辑按钮进入澄清报价详细界面，输入价格并上传澄清函，之后点击提交。</w:t>
      </w:r>
    </w:p>
    <w:p w14:paraId="62403F54">
      <w:pPr>
        <w:pStyle w:val="7"/>
        <w:adjustRightInd w:val="0"/>
        <w:snapToGrid w:val="0"/>
        <w:jc w:val="left"/>
        <w:rPr>
          <w:rFonts w:ascii="宋体" w:hAnsi="宋体" w:cs="Arial"/>
          <w:color w:val="000000"/>
          <w:sz w:val="24"/>
          <w:szCs w:val="24"/>
        </w:rPr>
      </w:pPr>
      <w:r>
        <w:rPr>
          <w:rFonts w:ascii="宋体" w:hAnsi="宋体" w:cs="Arial"/>
          <w:color w:val="000000"/>
          <w:sz w:val="24"/>
          <w:szCs w:val="24"/>
        </w:rPr>
        <w:drawing>
          <wp:inline distT="0" distB="0" distL="0" distR="0">
            <wp:extent cx="5490210" cy="2544445"/>
            <wp:effectExtent l="0" t="0" r="15240" b="8255"/>
            <wp:docPr id="29" name="picture" descr="descript"/>
            <wp:cNvGraphicFramePr/>
            <a:graphic xmlns:a="http://schemas.openxmlformats.org/drawingml/2006/main">
              <a:graphicData uri="http://schemas.openxmlformats.org/drawingml/2006/picture">
                <pic:pic xmlns:pic="http://schemas.openxmlformats.org/drawingml/2006/picture">
                  <pic:nvPicPr>
                    <pic:cNvPr id="29" name="picture" descr="descript"/>
                    <pic:cNvPicPr/>
                  </pic:nvPicPr>
                  <pic:blipFill>
                    <a:blip r:embed="rId24"/>
                    <a:stretch>
                      <a:fillRect/>
                    </a:stretch>
                  </pic:blipFill>
                  <pic:spPr>
                    <a:xfrm>
                      <a:off x="0" y="0"/>
                      <a:ext cx="5490210" cy="2544669"/>
                    </a:xfrm>
                    <a:prstGeom prst="rect">
                      <a:avLst/>
                    </a:prstGeom>
                  </pic:spPr>
                </pic:pic>
              </a:graphicData>
            </a:graphic>
          </wp:inline>
        </w:drawing>
      </w:r>
    </w:p>
    <w:p w14:paraId="7DCD96EB">
      <w:pPr>
        <w:adjustRightInd w:val="0"/>
        <w:snapToGrid w:val="0"/>
        <w:spacing w:line="360" w:lineRule="auto"/>
        <w:jc w:val="left"/>
        <w:rPr>
          <w:rFonts w:ascii="宋体" w:hAnsi="宋体" w:cs="宋体"/>
          <w:b/>
          <w:bCs/>
          <w:color w:val="000000"/>
          <w:sz w:val="24"/>
          <w:szCs w:val="24"/>
        </w:rPr>
      </w:pPr>
      <w:r>
        <w:rPr>
          <w:rFonts w:hint="eastAsia" w:ascii="宋体" w:hAnsi="宋体" w:cs="宋体"/>
          <w:b/>
          <w:bCs/>
          <w:color w:val="000000"/>
          <w:sz w:val="24"/>
          <w:szCs w:val="24"/>
        </w:rPr>
        <w:t>6.供应商查看中标通知</w:t>
      </w:r>
    </w:p>
    <w:p w14:paraId="01E25B52">
      <w:pPr>
        <w:adjustRightInd w:val="0"/>
        <w:snapToGrid w:val="0"/>
        <w:spacing w:line="360" w:lineRule="auto"/>
        <w:jc w:val="left"/>
        <w:rPr>
          <w:rFonts w:ascii="宋体" w:hAnsi="宋体" w:cs="宋体"/>
          <w:sz w:val="24"/>
          <w:szCs w:val="24"/>
        </w:rPr>
      </w:pPr>
      <w:r>
        <w:rPr>
          <w:rFonts w:ascii="宋体" w:hAnsi="宋体" w:cs="宋体"/>
          <w:color w:val="000000"/>
          <w:sz w:val="24"/>
          <w:szCs w:val="24"/>
        </w:rPr>
        <w:t>路径：招投标中心</w:t>
      </w:r>
      <w:r>
        <w:rPr>
          <w:rFonts w:hint="eastAsia" w:ascii="宋体" w:hAnsi="宋体" w:cs="宋体"/>
          <w:color w:val="000000"/>
          <w:sz w:val="24"/>
          <w:szCs w:val="24"/>
        </w:rPr>
        <w:t>-</w:t>
      </w:r>
      <w:r>
        <w:rPr>
          <w:rFonts w:ascii="宋体" w:hAnsi="宋体" w:cs="宋体"/>
          <w:color w:val="000000"/>
          <w:sz w:val="24"/>
          <w:szCs w:val="24"/>
        </w:rPr>
        <w:t>非生产类招投标</w:t>
      </w:r>
      <w:r>
        <w:rPr>
          <w:rFonts w:hint="eastAsia" w:ascii="宋体" w:hAnsi="宋体" w:cs="宋体"/>
          <w:color w:val="000000"/>
          <w:sz w:val="24"/>
          <w:szCs w:val="24"/>
        </w:rPr>
        <w:t>-</w:t>
      </w:r>
      <w:r>
        <w:rPr>
          <w:rFonts w:ascii="宋体" w:hAnsi="宋体" w:cs="宋体"/>
          <w:color w:val="000000"/>
          <w:sz w:val="24"/>
          <w:szCs w:val="24"/>
        </w:rPr>
        <w:t>中标项目</w:t>
      </w:r>
    </w:p>
    <w:p w14:paraId="3ACD09A4">
      <w:pPr>
        <w:adjustRightInd w:val="0"/>
        <w:snapToGrid w:val="0"/>
        <w:spacing w:line="360" w:lineRule="auto"/>
        <w:jc w:val="left"/>
        <w:rPr>
          <w:rFonts w:ascii="宋体" w:hAnsi="宋体" w:cs="宋体"/>
          <w:sz w:val="24"/>
          <w:szCs w:val="24"/>
        </w:rPr>
      </w:pPr>
      <w:r>
        <w:rPr>
          <w:rFonts w:ascii="宋体" w:hAnsi="宋体" w:cs="宋体"/>
          <w:color w:val="000000"/>
          <w:sz w:val="24"/>
          <w:szCs w:val="24"/>
        </w:rPr>
        <w:t>点击查看进入查看中标项目详情</w:t>
      </w:r>
    </w:p>
    <w:p w14:paraId="60FB9FD8">
      <w:pPr>
        <w:adjustRightInd w:val="0"/>
        <w:snapToGrid w:val="0"/>
        <w:spacing w:line="360" w:lineRule="auto"/>
        <w:jc w:val="left"/>
        <w:rPr>
          <w:rFonts w:ascii="宋体" w:hAnsi="宋体"/>
          <w:sz w:val="24"/>
          <w:szCs w:val="24"/>
        </w:rPr>
      </w:pPr>
      <w:r>
        <w:rPr>
          <w:rFonts w:ascii="宋体" w:hAnsi="宋体"/>
          <w:sz w:val="24"/>
          <w:szCs w:val="24"/>
        </w:rPr>
        <w:drawing>
          <wp:inline distT="0" distB="0" distL="0" distR="0">
            <wp:extent cx="5760085" cy="1956435"/>
            <wp:effectExtent l="0" t="0" r="12065" b="5715"/>
            <wp:docPr id="30" name="picture" descr="descript"/>
            <wp:cNvGraphicFramePr/>
            <a:graphic xmlns:a="http://schemas.openxmlformats.org/drawingml/2006/main">
              <a:graphicData uri="http://schemas.openxmlformats.org/drawingml/2006/picture">
                <pic:pic xmlns:pic="http://schemas.openxmlformats.org/drawingml/2006/picture">
                  <pic:nvPicPr>
                    <pic:cNvPr id="30" name="picture" descr="descript"/>
                    <pic:cNvPicPr/>
                  </pic:nvPicPr>
                  <pic:blipFill>
                    <a:blip r:embed="rId25"/>
                    <a:stretch>
                      <a:fillRect/>
                    </a:stretch>
                  </pic:blipFill>
                  <pic:spPr>
                    <a:xfrm>
                      <a:off x="0" y="0"/>
                      <a:ext cx="5760085" cy="1956600"/>
                    </a:xfrm>
                    <a:prstGeom prst="rect">
                      <a:avLst/>
                    </a:prstGeom>
                  </pic:spPr>
                </pic:pic>
              </a:graphicData>
            </a:graphic>
          </wp:inline>
        </w:drawing>
      </w:r>
    </w:p>
    <w:p w14:paraId="77F9CF51">
      <w:pPr>
        <w:pStyle w:val="76"/>
        <w:adjustRightInd w:val="0"/>
        <w:snapToGrid w:val="0"/>
        <w:rPr>
          <w:rFonts w:hAnsi="宋体"/>
          <w:sz w:val="24"/>
          <w:szCs w:val="24"/>
        </w:rPr>
      </w:pPr>
    </w:p>
    <w:sectPr>
      <w:pgSz w:w="11906" w:h="16838"/>
      <w:pgMar w:top="1134" w:right="1134" w:bottom="1134" w:left="1134" w:header="851" w:footer="992" w:gutter="0"/>
      <w:cols w:space="720" w:num="1"/>
      <w:titlePg/>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7A"/>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等线 Light">
    <w:panose1 w:val="02010600030101010101"/>
    <w:charset w:val="86"/>
    <w:family w:val="auto"/>
    <w:pitch w:val="default"/>
    <w:sig w:usb0="A00002BF" w:usb1="38CF7CFA" w:usb2="00000016" w:usb3="00000000" w:csb0="0004000F" w:csb1="00000000"/>
  </w:font>
  <w:font w:name="仿宋_GB2312">
    <w:altName w:val="仿宋"/>
    <w:panose1 w:val="00000000000000000000"/>
    <w:charset w:val="86"/>
    <w:family w:val="auto"/>
    <w:pitch w:val="default"/>
    <w:sig w:usb0="00000000" w:usb1="00000000" w:usb2="00000000" w:usb3="00000000" w:csb0="00040000" w:csb1="00000000"/>
  </w:font>
  <w:font w:name="仿宋">
    <w:panose1 w:val="02010609060101010101"/>
    <w:charset w:val="86"/>
    <w:family w:val="auto"/>
    <w:pitch w:val="default"/>
    <w:sig w:usb0="800002BF" w:usb1="38CF7CFA" w:usb2="00000016" w:usb3="00000000" w:csb0="00040001" w:csb1="00000000"/>
  </w:font>
  <w:font w:name="Cambria">
    <w:panose1 w:val="02040503050406030204"/>
    <w:charset w:val="00"/>
    <w:family w:val="roman"/>
    <w:pitch w:val="default"/>
    <w:sig w:usb0="E00006FF" w:usb1="420024FF" w:usb2="02000000" w:usb3="00000000" w:csb0="2000019F" w:csb1="00000000"/>
  </w:font>
  <w:font w:name="Verdana">
    <w:panose1 w:val="020B0604030504040204"/>
    <w:charset w:val="00"/>
    <w:family w:val="swiss"/>
    <w:pitch w:val="default"/>
    <w:sig w:usb0="A00006FF" w:usb1="4000205B" w:usb2="00000010" w:usb3="00000000" w:csb0="2000019F" w:csb1="00000000"/>
  </w:font>
  <w:font w:name="ˎ̥">
    <w:altName w:val="Times New Roman"/>
    <w:panose1 w:val="00000000000000000000"/>
    <w:charset w:val="00"/>
    <w:family w:val="roman"/>
    <w:pitch w:val="default"/>
    <w:sig w:usb0="00000000" w:usb1="00000000" w:usb2="00000000" w:usb3="00000000" w:csb0="00000000" w:csb1="00000000"/>
  </w:font>
  <w:font w:name="Tahoma">
    <w:panose1 w:val="020B0604030504040204"/>
    <w:charset w:val="00"/>
    <w:family w:val="swiss"/>
    <w:pitch w:val="default"/>
    <w:sig w:usb0="E1002EFF" w:usb1="C000605B" w:usb2="00000029" w:usb3="00000000" w:csb0="200101FF" w:csb1="20280000"/>
  </w:font>
  <w:font w:name="Microsoft YaHei UI">
    <w:panose1 w:val="020B0503020204020204"/>
    <w:charset w:val="86"/>
    <w:family w:val="swiss"/>
    <w:pitch w:val="default"/>
    <w:sig w:usb0="80000287" w:usb1="2ACF3C50" w:usb2="00000016" w:usb3="00000000" w:csb0="0004001F" w:csb1="00000000"/>
  </w:font>
  <w:font w:name="Segoe UI">
    <w:panose1 w:val="020B0502040204020203"/>
    <w:charset w:val="00"/>
    <w:family w:val="auto"/>
    <w:pitch w:val="default"/>
    <w:sig w:usb0="E4002EFF" w:usb1="C000E47F" w:usb2="00000009" w:usb3="00000000" w:csb0="200001FF" w:csb1="00000000"/>
  </w:font>
  <w:font w:name="??">
    <w:altName w:val="Times New Roman"/>
    <w:panose1 w:val="00000000000000000000"/>
    <w:charset w:val="00"/>
    <w:family w:val="roman"/>
    <w:pitch w:val="default"/>
    <w:sig w:usb0="00000000" w:usb1="00000000" w:usb2="00000000" w:usb3="00000000" w:csb0="00000001" w:csb1="00000000"/>
  </w:font>
  <w:font w:name="答疑">
    <w:altName w:val="Segoe Print"/>
    <w:panose1 w:val="00000000000000000000"/>
    <w:charset w:val="00"/>
    <w:family w:val="auto"/>
    <w:pitch w:val="default"/>
    <w:sig w:usb0="00000000" w:usb1="00000000" w:usb2="00000000" w:usb3="00000000" w:csb0="00000000" w:csb1="00000000"/>
  </w:font>
  <w:font w:name="Segoe Print">
    <w:panose1 w:val="02000600000000000000"/>
    <w:charset w:val="00"/>
    <w:family w:val="auto"/>
    <w:pitch w:val="default"/>
    <w:sig w:usb0="0000028F" w:usb1="00000000" w:usb2="00000000" w:usb3="00000000" w:csb0="2000009F" w:csb1="47010000"/>
  </w:font>
  <w:font w:name="楷体_GB2312">
    <w:altName w:val="楷体"/>
    <w:panose1 w:val="02010609030101010101"/>
    <w:charset w:val="86"/>
    <w:family w:val="modern"/>
    <w:pitch w:val="default"/>
    <w:sig w:usb0="00000000" w:usb1="00000000" w:usb2="00000000" w:usb3="00000000" w:csb0="00040000" w:csb1="00000000"/>
  </w:font>
  <w:font w:name="楷体">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698291327"/>
    </w:sdtPr>
    <w:sdtContent>
      <w:p w14:paraId="69EA1C5B">
        <w:pPr>
          <w:pStyle w:val="19"/>
          <w:jc w:val="center"/>
          <w:rPr>
            <w:sz w:val="21"/>
            <w:szCs w:val="20"/>
          </w:rPr>
        </w:pPr>
        <w:r>
          <w:rPr>
            <w:rFonts w:hint="eastAsia"/>
            <w:lang w:val="zh-CN"/>
          </w:rPr>
          <w:t>第</w:t>
        </w:r>
        <w:r>
          <w:rPr>
            <w:lang w:val="zh-CN"/>
          </w:rPr>
          <w:fldChar w:fldCharType="begin"/>
        </w:r>
        <w:r>
          <w:rPr>
            <w:lang w:val="zh-CN"/>
          </w:rPr>
          <w:instrText xml:space="preserve">PAGE</w:instrText>
        </w:r>
        <w:r>
          <w:rPr>
            <w:lang w:val="zh-CN"/>
          </w:rPr>
          <w:fldChar w:fldCharType="separate"/>
        </w:r>
        <w:r>
          <w:rPr>
            <w:lang w:val="zh-CN"/>
          </w:rPr>
          <w:t>- 18 -</w:t>
        </w:r>
        <w:r>
          <w:rPr>
            <w:lang w:val="zh-CN"/>
          </w:rPr>
          <w:fldChar w:fldCharType="end"/>
        </w:r>
        <w:r>
          <w:rPr>
            <w:rFonts w:hint="eastAsia"/>
            <w:lang w:val="zh-CN"/>
          </w:rPr>
          <w:t>页，共</w:t>
        </w:r>
        <w:r>
          <w:rPr>
            <w:lang w:val="zh-CN"/>
          </w:rPr>
          <w:fldChar w:fldCharType="begin"/>
        </w:r>
        <w:r>
          <w:rPr>
            <w:lang w:val="zh-CN"/>
          </w:rPr>
          <w:instrText xml:space="preserve">NUMPAGES</w:instrText>
        </w:r>
        <w:r>
          <w:rPr>
            <w:lang w:val="zh-CN"/>
          </w:rPr>
          <w:fldChar w:fldCharType="separate"/>
        </w:r>
        <w:r>
          <w:rPr>
            <w:lang w:val="zh-CN"/>
          </w:rPr>
          <w:t>32</w:t>
        </w:r>
        <w:r>
          <w:rPr>
            <w:lang w:val="zh-CN"/>
          </w:rPr>
          <w:fldChar w:fldCharType="end"/>
        </w:r>
        <w:r>
          <w:rPr>
            <w:rFonts w:hint="eastAsia"/>
            <w:lang w:val="zh-CN"/>
          </w:rPr>
          <w:t>页</w:t>
        </w:r>
      </w:p>
    </w:sdtContent>
  </w:sdt>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552D835">
    <w:pPr>
      <w:pStyle w:val="19"/>
      <w:framePr w:wrap="around" w:vAnchor="text" w:hAnchor="margin" w:xAlign="center" w:y="1"/>
      <w:rPr>
        <w:rStyle w:val="35"/>
      </w:rPr>
    </w:pPr>
    <w:r>
      <w:fldChar w:fldCharType="begin"/>
    </w:r>
    <w:r>
      <w:rPr>
        <w:rStyle w:val="35"/>
      </w:rPr>
      <w:instrText xml:space="preserve">PAGE  </w:instrText>
    </w:r>
    <w:r>
      <w:fldChar w:fldCharType="end"/>
    </w:r>
  </w:p>
  <w:p w14:paraId="4E3581D6">
    <w:pPr>
      <w:pStyle w:val="19"/>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1092243577"/>
      <w:docPartObj>
        <w:docPartGallery w:val="autotext"/>
      </w:docPartObj>
    </w:sdtPr>
    <w:sdtContent>
      <w:sdt>
        <w:sdtPr>
          <w:id w:val="1728636285"/>
          <w:docPartObj>
            <w:docPartGallery w:val="autotext"/>
          </w:docPartObj>
        </w:sdtPr>
        <w:sdtContent>
          <w:p w14:paraId="727A12B0">
            <w:pPr>
              <w:pStyle w:val="19"/>
              <w:jc w:val="center"/>
            </w:pPr>
            <w:r>
              <w:rPr>
                <w:lang w:val="zh-CN"/>
              </w:rPr>
              <w:t xml:space="preserve"> </w:t>
            </w:r>
            <w:r>
              <w:rPr>
                <w:b/>
                <w:bCs/>
                <w:sz w:val="24"/>
                <w:szCs w:val="24"/>
              </w:rPr>
              <w:fldChar w:fldCharType="begin"/>
            </w:r>
            <w:r>
              <w:rPr>
                <w:b/>
                <w:bCs/>
              </w:rPr>
              <w:instrText xml:space="preserve">PAGE</w:instrText>
            </w:r>
            <w:r>
              <w:rPr>
                <w:b/>
                <w:bCs/>
                <w:sz w:val="24"/>
                <w:szCs w:val="24"/>
              </w:rPr>
              <w:fldChar w:fldCharType="separate"/>
            </w:r>
            <w:r>
              <w:rPr>
                <w:b/>
                <w:bCs/>
              </w:rPr>
              <w:t>2</w:t>
            </w:r>
            <w:r>
              <w:rPr>
                <w:b/>
                <w:bCs/>
                <w:sz w:val="24"/>
                <w:szCs w:val="24"/>
              </w:rPr>
              <w:fldChar w:fldCharType="end"/>
            </w:r>
            <w:r>
              <w:rPr>
                <w:lang w:val="zh-CN"/>
              </w:rPr>
              <w:t xml:space="preserve"> / </w:t>
            </w:r>
            <w:r>
              <w:rPr>
                <w:b/>
                <w:bCs/>
                <w:sz w:val="24"/>
                <w:szCs w:val="24"/>
              </w:rPr>
              <w:fldChar w:fldCharType="begin"/>
            </w:r>
            <w:r>
              <w:rPr>
                <w:b/>
                <w:bCs/>
              </w:rPr>
              <w:instrText xml:space="preserve">NUMPAGES</w:instrText>
            </w:r>
            <w:r>
              <w:rPr>
                <w:b/>
                <w:bCs/>
                <w:sz w:val="24"/>
                <w:szCs w:val="24"/>
              </w:rPr>
              <w:fldChar w:fldCharType="separate"/>
            </w:r>
            <w:r>
              <w:rPr>
                <w:b/>
                <w:bCs/>
              </w:rPr>
              <w:t>24</w:t>
            </w:r>
            <w:r>
              <w:rPr>
                <w:b/>
                <w:bCs/>
                <w:sz w:val="24"/>
                <w:szCs w:val="24"/>
              </w:rPr>
              <w:fldChar w:fldCharType="end"/>
            </w:r>
          </w:p>
        </w:sdtContent>
      </w:sdt>
    </w:sdtContent>
  </w:sdt>
  <w:p w14:paraId="7BDF983B">
    <w:pPr>
      <w:pStyle w:val="19"/>
      <w:jc w:val="cente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233910810"/>
      <w:docPartObj>
        <w:docPartGallery w:val="autotext"/>
      </w:docPartObj>
    </w:sdtPr>
    <w:sdtContent>
      <w:sdt>
        <w:sdtPr>
          <w:id w:val="-695531768"/>
          <w:docPartObj>
            <w:docPartGallery w:val="autotext"/>
          </w:docPartObj>
        </w:sdtPr>
        <w:sdtContent>
          <w:p w14:paraId="3341A746">
            <w:pPr>
              <w:pStyle w:val="19"/>
              <w:jc w:val="center"/>
            </w:pPr>
            <w:r>
              <w:rPr>
                <w:lang w:val="zh-CN"/>
              </w:rPr>
              <w:t xml:space="preserve"> </w:t>
            </w:r>
            <w:r>
              <w:rPr>
                <w:b/>
                <w:bCs/>
                <w:sz w:val="24"/>
                <w:szCs w:val="24"/>
              </w:rPr>
              <w:fldChar w:fldCharType="begin"/>
            </w:r>
            <w:r>
              <w:rPr>
                <w:b/>
                <w:bCs/>
              </w:rPr>
              <w:instrText xml:space="preserve">PAGE</w:instrText>
            </w:r>
            <w:r>
              <w:rPr>
                <w:b/>
                <w:bCs/>
                <w:sz w:val="24"/>
                <w:szCs w:val="24"/>
              </w:rPr>
              <w:fldChar w:fldCharType="separate"/>
            </w:r>
            <w:r>
              <w:rPr>
                <w:b/>
                <w:bCs/>
              </w:rPr>
              <w:t>14</w:t>
            </w:r>
            <w:r>
              <w:rPr>
                <w:b/>
                <w:bCs/>
                <w:sz w:val="24"/>
                <w:szCs w:val="24"/>
              </w:rPr>
              <w:fldChar w:fldCharType="end"/>
            </w:r>
            <w:r>
              <w:rPr>
                <w:lang w:val="zh-CN"/>
              </w:rPr>
              <w:t xml:space="preserve"> / </w:t>
            </w:r>
            <w:r>
              <w:rPr>
                <w:b/>
                <w:bCs/>
                <w:sz w:val="24"/>
                <w:szCs w:val="24"/>
              </w:rPr>
              <w:fldChar w:fldCharType="begin"/>
            </w:r>
            <w:r>
              <w:rPr>
                <w:b/>
                <w:bCs/>
              </w:rPr>
              <w:instrText xml:space="preserve">NUMPAGES</w:instrText>
            </w:r>
            <w:r>
              <w:rPr>
                <w:b/>
                <w:bCs/>
                <w:sz w:val="24"/>
                <w:szCs w:val="24"/>
              </w:rPr>
              <w:fldChar w:fldCharType="separate"/>
            </w:r>
            <w:r>
              <w:rPr>
                <w:b/>
                <w:bCs/>
              </w:rPr>
              <w:t>24</w:t>
            </w:r>
            <w:r>
              <w:rPr>
                <w:b/>
                <w:bCs/>
                <w:sz w:val="24"/>
                <w:szCs w:val="24"/>
              </w:rPr>
              <w:fldChar w:fldCharType="end"/>
            </w:r>
          </w:p>
        </w:sdtContent>
      </w:sdt>
    </w:sdtContent>
  </w:sdt>
  <w:p w14:paraId="7933D68F">
    <w:pPr>
      <w:pStyle w:val="19"/>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695285073"/>
      <w:docPartObj>
        <w:docPartGallery w:val="autotext"/>
      </w:docPartObj>
    </w:sdtPr>
    <w:sdtContent>
      <w:sdt>
        <w:sdtPr>
          <w:id w:val="2034840282"/>
          <w:docPartObj>
            <w:docPartGallery w:val="autotext"/>
          </w:docPartObj>
        </w:sdtPr>
        <w:sdtContent>
          <w:p w14:paraId="7E73B264">
            <w:pPr>
              <w:pStyle w:val="19"/>
              <w:jc w:val="center"/>
            </w:pPr>
            <w:r>
              <w:rPr>
                <w:lang w:val="zh-CN"/>
              </w:rPr>
              <w:t xml:space="preserve"> </w:t>
            </w:r>
            <w:r>
              <w:rPr>
                <w:b/>
                <w:bCs/>
                <w:sz w:val="24"/>
                <w:szCs w:val="24"/>
              </w:rPr>
              <w:fldChar w:fldCharType="begin"/>
            </w:r>
            <w:r>
              <w:rPr>
                <w:b/>
                <w:bCs/>
              </w:rPr>
              <w:instrText xml:space="preserve">PAGE</w:instrText>
            </w:r>
            <w:r>
              <w:rPr>
                <w:b/>
                <w:bCs/>
                <w:sz w:val="24"/>
                <w:szCs w:val="24"/>
              </w:rPr>
              <w:fldChar w:fldCharType="separate"/>
            </w:r>
            <w:r>
              <w:rPr>
                <w:b/>
                <w:bCs/>
              </w:rPr>
              <w:t>3</w:t>
            </w:r>
            <w:r>
              <w:rPr>
                <w:b/>
                <w:bCs/>
                <w:sz w:val="24"/>
                <w:szCs w:val="24"/>
              </w:rPr>
              <w:fldChar w:fldCharType="end"/>
            </w:r>
            <w:r>
              <w:rPr>
                <w:lang w:val="zh-CN"/>
              </w:rPr>
              <w:t xml:space="preserve"> / </w:t>
            </w:r>
            <w:r>
              <w:rPr>
                <w:b/>
                <w:bCs/>
                <w:sz w:val="24"/>
                <w:szCs w:val="24"/>
              </w:rPr>
              <w:fldChar w:fldCharType="begin"/>
            </w:r>
            <w:r>
              <w:rPr>
                <w:b/>
                <w:bCs/>
              </w:rPr>
              <w:instrText xml:space="preserve">NUMPAGES</w:instrText>
            </w:r>
            <w:r>
              <w:rPr>
                <w:b/>
                <w:bCs/>
                <w:sz w:val="24"/>
                <w:szCs w:val="24"/>
              </w:rPr>
              <w:fldChar w:fldCharType="separate"/>
            </w:r>
            <w:r>
              <w:rPr>
                <w:b/>
                <w:bCs/>
              </w:rPr>
              <w:t>24</w:t>
            </w:r>
            <w:r>
              <w:rPr>
                <w:b/>
                <w:bCs/>
                <w:sz w:val="24"/>
                <w:szCs w:val="24"/>
              </w:rPr>
              <w:fldChar w:fldCharType="end"/>
            </w:r>
          </w:p>
        </w:sdtContent>
      </w:sdt>
    </w:sdtContent>
  </w:sdt>
  <w:p w14:paraId="3E76018E">
    <w:pPr>
      <w:pStyle w:val="19"/>
      <w:jc w:val="center"/>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1191530725"/>
      <w:docPartObj>
        <w:docPartGallery w:val="autotext"/>
      </w:docPartObj>
    </w:sdtPr>
    <w:sdtContent>
      <w:sdt>
        <w:sdtPr>
          <w:id w:val="-1821649251"/>
          <w:docPartObj>
            <w:docPartGallery w:val="autotext"/>
          </w:docPartObj>
        </w:sdtPr>
        <w:sdtContent>
          <w:p w14:paraId="5BB3BB1D">
            <w:pPr>
              <w:pStyle w:val="19"/>
              <w:jc w:val="center"/>
            </w:pPr>
            <w:r>
              <w:rPr>
                <w:lang w:val="zh-CN"/>
              </w:rPr>
              <w:t xml:space="preserve"> </w:t>
            </w:r>
            <w:r>
              <w:rPr>
                <w:b/>
                <w:bCs/>
                <w:sz w:val="24"/>
                <w:szCs w:val="24"/>
              </w:rPr>
              <w:fldChar w:fldCharType="begin"/>
            </w:r>
            <w:r>
              <w:rPr>
                <w:b/>
                <w:bCs/>
              </w:rPr>
              <w:instrText xml:space="preserve">PAGE</w:instrText>
            </w:r>
            <w:r>
              <w:rPr>
                <w:b/>
                <w:bCs/>
                <w:sz w:val="24"/>
                <w:szCs w:val="24"/>
              </w:rPr>
              <w:fldChar w:fldCharType="separate"/>
            </w:r>
            <w:r>
              <w:rPr>
                <w:b/>
                <w:bCs/>
              </w:rPr>
              <w:t>21</w:t>
            </w:r>
            <w:r>
              <w:rPr>
                <w:b/>
                <w:bCs/>
                <w:sz w:val="24"/>
                <w:szCs w:val="24"/>
              </w:rPr>
              <w:fldChar w:fldCharType="end"/>
            </w:r>
            <w:r>
              <w:rPr>
                <w:lang w:val="zh-CN"/>
              </w:rPr>
              <w:t xml:space="preserve"> / </w:t>
            </w:r>
            <w:r>
              <w:rPr>
                <w:b/>
                <w:bCs/>
                <w:sz w:val="24"/>
                <w:szCs w:val="24"/>
              </w:rPr>
              <w:fldChar w:fldCharType="begin"/>
            </w:r>
            <w:r>
              <w:rPr>
                <w:b/>
                <w:bCs/>
              </w:rPr>
              <w:instrText xml:space="preserve">NUMPAGES</w:instrText>
            </w:r>
            <w:r>
              <w:rPr>
                <w:b/>
                <w:bCs/>
                <w:sz w:val="24"/>
                <w:szCs w:val="24"/>
              </w:rPr>
              <w:fldChar w:fldCharType="separate"/>
            </w:r>
            <w:r>
              <w:rPr>
                <w:b/>
                <w:bCs/>
              </w:rPr>
              <w:t>24</w:t>
            </w:r>
            <w:r>
              <w:rPr>
                <w:b/>
                <w:bCs/>
                <w:sz w:val="24"/>
                <w:szCs w:val="24"/>
              </w:rPr>
              <w:fldChar w:fldCharType="end"/>
            </w:r>
          </w:p>
        </w:sdtContent>
      </w:sdt>
    </w:sdtContent>
  </w:sdt>
  <w:p w14:paraId="33CA06B5">
    <w:pPr>
      <w:spacing w:line="179" w:lineRule="auto"/>
      <w:ind w:left="6868"/>
      <w:rPr>
        <w:rFonts w:ascii="宋体" w:hAnsi="宋体" w:cs="宋体"/>
        <w:sz w:val="17"/>
        <w:szCs w:val="17"/>
      </w:rPr>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1208533290"/>
      <w:docPartObj>
        <w:docPartGallery w:val="autotext"/>
      </w:docPartObj>
    </w:sdtPr>
    <w:sdtContent>
      <w:sdt>
        <w:sdtPr>
          <w:id w:val="-1671404540"/>
          <w:docPartObj>
            <w:docPartGallery w:val="autotext"/>
          </w:docPartObj>
        </w:sdtPr>
        <w:sdtContent>
          <w:p w14:paraId="4E094AD5">
            <w:pPr>
              <w:pStyle w:val="19"/>
              <w:jc w:val="center"/>
            </w:pPr>
            <w:r>
              <w:rPr>
                <w:lang w:val="zh-CN"/>
              </w:rPr>
              <w:t xml:space="preserve"> </w:t>
            </w:r>
            <w:r>
              <w:rPr>
                <w:b/>
                <w:bCs/>
                <w:sz w:val="24"/>
                <w:szCs w:val="24"/>
              </w:rPr>
              <w:fldChar w:fldCharType="begin"/>
            </w:r>
            <w:r>
              <w:rPr>
                <w:b/>
                <w:bCs/>
              </w:rPr>
              <w:instrText xml:space="preserve">PAGE</w:instrText>
            </w:r>
            <w:r>
              <w:rPr>
                <w:b/>
                <w:bCs/>
                <w:sz w:val="24"/>
                <w:szCs w:val="24"/>
              </w:rPr>
              <w:fldChar w:fldCharType="separate"/>
            </w:r>
            <w:r>
              <w:rPr>
                <w:b/>
                <w:bCs/>
              </w:rPr>
              <w:t>16</w:t>
            </w:r>
            <w:r>
              <w:rPr>
                <w:b/>
                <w:bCs/>
                <w:sz w:val="24"/>
                <w:szCs w:val="24"/>
              </w:rPr>
              <w:fldChar w:fldCharType="end"/>
            </w:r>
            <w:r>
              <w:rPr>
                <w:lang w:val="zh-CN"/>
              </w:rPr>
              <w:t xml:space="preserve"> / </w:t>
            </w:r>
            <w:r>
              <w:rPr>
                <w:b/>
                <w:bCs/>
                <w:sz w:val="24"/>
                <w:szCs w:val="24"/>
              </w:rPr>
              <w:fldChar w:fldCharType="begin"/>
            </w:r>
            <w:r>
              <w:rPr>
                <w:b/>
                <w:bCs/>
              </w:rPr>
              <w:instrText xml:space="preserve">NUMPAGES</w:instrText>
            </w:r>
            <w:r>
              <w:rPr>
                <w:b/>
                <w:bCs/>
                <w:sz w:val="24"/>
                <w:szCs w:val="24"/>
              </w:rPr>
              <w:fldChar w:fldCharType="separate"/>
            </w:r>
            <w:r>
              <w:rPr>
                <w:b/>
                <w:bCs/>
              </w:rPr>
              <w:t>24</w:t>
            </w:r>
            <w:r>
              <w:rPr>
                <w:b/>
                <w:bCs/>
                <w:sz w:val="24"/>
                <w:szCs w:val="24"/>
              </w:rPr>
              <w:fldChar w:fldCharType="end"/>
            </w:r>
          </w:p>
        </w:sdtContent>
      </w:sdt>
    </w:sdtContent>
  </w:sdt>
  <w:p w14:paraId="0C5CF05A"/>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8B2E64D">
    <w:pPr>
      <w:pStyle w:val="20"/>
      <w:ind w:firstLine="360"/>
      <w:jc w:val="right"/>
    </w:pPr>
    <w:r>
      <w:rPr>
        <w:rFonts w:hint="eastAsia"/>
      </w:rPr>
      <w:t>中国重型汽车集团*</w:t>
    </w:r>
    <w:r>
      <w:t>*****</w:t>
    </w:r>
    <w:r>
      <w:rPr>
        <w:rFonts w:hint="eastAsia"/>
      </w:rPr>
      <w:t>采购项目招标书</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311EC04"/>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B20830A4"/>
    <w:multiLevelType w:val="multilevel"/>
    <w:tmpl w:val="B20830A4"/>
    <w:lvl w:ilvl="0" w:tentative="0">
      <w:start w:val="1"/>
      <w:numFmt w:val="decimal"/>
      <w:suff w:val="nothing"/>
      <w:lvlText w:val="%1."/>
      <w:lvlJc w:val="left"/>
      <w:pPr>
        <w:ind w:left="0" w:firstLine="0"/>
      </w:pPr>
      <w:rPr>
        <w:rFonts w:hint="default"/>
      </w:rPr>
    </w:lvl>
    <w:lvl w:ilvl="1" w:tentative="0">
      <w:start w:val="1"/>
      <w:numFmt w:val="decimal"/>
      <w:suff w:val="nothing"/>
      <w:lvlText w:val="%1.%2."/>
      <w:lvlJc w:val="left"/>
      <w:pPr>
        <w:ind w:left="0" w:firstLine="0"/>
      </w:pPr>
      <w:rPr>
        <w:rFonts w:hint="default"/>
      </w:rPr>
    </w:lvl>
    <w:lvl w:ilvl="2" w:tentative="0">
      <w:start w:val="1"/>
      <w:numFmt w:val="decimal"/>
      <w:lvlText w:val="%1.%2.%3."/>
      <w:lvlJc w:val="left"/>
      <w:pPr>
        <w:ind w:left="1508" w:hanging="708"/>
      </w:pPr>
      <w:rPr>
        <w:rFonts w:hint="default"/>
      </w:rPr>
    </w:lvl>
    <w:lvl w:ilvl="3" w:tentative="0">
      <w:start w:val="1"/>
      <w:numFmt w:val="decimal"/>
      <w:lvlText w:val="%1.%2.%3.%4."/>
      <w:lvlJc w:val="left"/>
      <w:pPr>
        <w:ind w:left="2053" w:hanging="853"/>
      </w:pPr>
      <w:rPr>
        <w:rFonts w:hint="default"/>
      </w:rPr>
    </w:lvl>
    <w:lvl w:ilvl="4" w:tentative="0">
      <w:start w:val="1"/>
      <w:numFmt w:val="decimal"/>
      <w:lvlText w:val="%1.%2.%3.%4.%5."/>
      <w:lvlJc w:val="left"/>
      <w:pPr>
        <w:ind w:left="2495" w:hanging="895"/>
      </w:pPr>
      <w:rPr>
        <w:rFonts w:hint="default"/>
      </w:rPr>
    </w:lvl>
    <w:lvl w:ilvl="5" w:tentative="0">
      <w:start w:val="1"/>
      <w:numFmt w:val="decimal"/>
      <w:lvlText w:val="%1.%2.%3.%4.%5.%6."/>
      <w:lvlJc w:val="left"/>
      <w:pPr>
        <w:ind w:left="3136" w:hanging="1136"/>
      </w:pPr>
      <w:rPr>
        <w:rFonts w:hint="default"/>
      </w:rPr>
    </w:lvl>
    <w:lvl w:ilvl="6" w:tentative="0">
      <w:start w:val="1"/>
      <w:numFmt w:val="decimal"/>
      <w:lvlText w:val="%1.%2.%3.%4.%5.%6.%7."/>
      <w:lvlJc w:val="left"/>
      <w:pPr>
        <w:ind w:left="3673" w:hanging="1273"/>
      </w:pPr>
      <w:rPr>
        <w:rFonts w:hint="default"/>
      </w:rPr>
    </w:lvl>
    <w:lvl w:ilvl="7" w:tentative="0">
      <w:start w:val="1"/>
      <w:numFmt w:val="decimal"/>
      <w:lvlText w:val="%1.%2.%3.%4.%5.%6.%7.%8."/>
      <w:lvlJc w:val="left"/>
      <w:pPr>
        <w:ind w:left="4218" w:hanging="1418"/>
      </w:pPr>
      <w:rPr>
        <w:rFonts w:hint="default"/>
      </w:rPr>
    </w:lvl>
    <w:lvl w:ilvl="8" w:tentative="0">
      <w:start w:val="1"/>
      <w:numFmt w:val="decimal"/>
      <w:lvlText w:val="%1.%2.%3.%4.%5.%6.%7.%8.%9."/>
      <w:lvlJc w:val="left"/>
      <w:pPr>
        <w:ind w:left="4648" w:hanging="1448"/>
      </w:pPr>
      <w:rPr>
        <w:rFonts w:hint="default"/>
      </w:rPr>
    </w:lvl>
  </w:abstractNum>
  <w:abstractNum w:abstractNumId="1">
    <w:nsid w:val="D05F1A21"/>
    <w:multiLevelType w:val="multilevel"/>
    <w:tmpl w:val="D05F1A21"/>
    <w:lvl w:ilvl="0" w:tentative="0">
      <w:start w:val="1"/>
      <w:numFmt w:val="decimal"/>
      <w:suff w:val="nothing"/>
      <w:lvlText w:val="%1."/>
      <w:lvlJc w:val="left"/>
      <w:pPr>
        <w:ind w:left="0" w:firstLine="0"/>
      </w:pPr>
      <w:rPr>
        <w:rFonts w:hint="default"/>
      </w:rPr>
    </w:lvl>
    <w:lvl w:ilvl="1" w:tentative="0">
      <w:start w:val="1"/>
      <w:numFmt w:val="decimal"/>
      <w:suff w:val="nothing"/>
      <w:lvlText w:val="%1.%2."/>
      <w:lvlJc w:val="left"/>
      <w:pPr>
        <w:ind w:left="0" w:firstLine="0"/>
      </w:pPr>
      <w:rPr>
        <w:rFonts w:hint="default"/>
        <w:b w:val="0"/>
        <w:bCs w:val="0"/>
      </w:rPr>
    </w:lvl>
    <w:lvl w:ilvl="2" w:tentative="0">
      <w:start w:val="1"/>
      <w:numFmt w:val="decimal"/>
      <w:lvlText w:val="%1.%2.%3."/>
      <w:lvlJc w:val="left"/>
      <w:pPr>
        <w:ind w:left="1508" w:hanging="708"/>
      </w:pPr>
      <w:rPr>
        <w:rFonts w:hint="default"/>
      </w:rPr>
    </w:lvl>
    <w:lvl w:ilvl="3" w:tentative="0">
      <w:start w:val="1"/>
      <w:numFmt w:val="decimal"/>
      <w:lvlText w:val="%1.%2.%3.%4."/>
      <w:lvlJc w:val="left"/>
      <w:pPr>
        <w:ind w:left="2053" w:hanging="853"/>
      </w:pPr>
      <w:rPr>
        <w:rFonts w:hint="default"/>
      </w:rPr>
    </w:lvl>
    <w:lvl w:ilvl="4" w:tentative="0">
      <w:start w:val="1"/>
      <w:numFmt w:val="decimal"/>
      <w:lvlText w:val="%1.%2.%3.%4.%5."/>
      <w:lvlJc w:val="left"/>
      <w:pPr>
        <w:ind w:left="2495" w:hanging="895"/>
      </w:pPr>
      <w:rPr>
        <w:rFonts w:hint="default"/>
      </w:rPr>
    </w:lvl>
    <w:lvl w:ilvl="5" w:tentative="0">
      <w:start w:val="1"/>
      <w:numFmt w:val="decimal"/>
      <w:lvlText w:val="%1.%2.%3.%4.%5.%6."/>
      <w:lvlJc w:val="left"/>
      <w:pPr>
        <w:ind w:left="3136" w:hanging="1136"/>
      </w:pPr>
      <w:rPr>
        <w:rFonts w:hint="default"/>
      </w:rPr>
    </w:lvl>
    <w:lvl w:ilvl="6" w:tentative="0">
      <w:start w:val="1"/>
      <w:numFmt w:val="decimal"/>
      <w:lvlText w:val="%1.%2.%3.%4.%5.%6.%7."/>
      <w:lvlJc w:val="left"/>
      <w:pPr>
        <w:ind w:left="3673" w:hanging="1273"/>
      </w:pPr>
      <w:rPr>
        <w:rFonts w:hint="default"/>
      </w:rPr>
    </w:lvl>
    <w:lvl w:ilvl="7" w:tentative="0">
      <w:start w:val="1"/>
      <w:numFmt w:val="decimal"/>
      <w:lvlText w:val="%1.%2.%3.%4.%5.%6.%7.%8."/>
      <w:lvlJc w:val="left"/>
      <w:pPr>
        <w:ind w:left="4218" w:hanging="1418"/>
      </w:pPr>
      <w:rPr>
        <w:rFonts w:hint="default"/>
      </w:rPr>
    </w:lvl>
    <w:lvl w:ilvl="8" w:tentative="0">
      <w:start w:val="1"/>
      <w:numFmt w:val="decimal"/>
      <w:lvlText w:val="%1.%2.%3.%4.%5.%6.%7.%8.%9."/>
      <w:lvlJc w:val="left"/>
      <w:pPr>
        <w:ind w:left="4648" w:hanging="1448"/>
      </w:pPr>
      <w:rPr>
        <w:rFonts w:hint="default"/>
      </w:rPr>
    </w:lvl>
  </w:abstractNum>
  <w:abstractNum w:abstractNumId="2">
    <w:nsid w:val="00000003"/>
    <w:multiLevelType w:val="singleLevel"/>
    <w:tmpl w:val="00000003"/>
    <w:lvl w:ilvl="0" w:tentative="0">
      <w:start w:val="5"/>
      <w:numFmt w:val="decimal"/>
      <w:lvlText w:val="%1."/>
      <w:lvlJc w:val="left"/>
      <w:pPr>
        <w:tabs>
          <w:tab w:val="left" w:pos="312"/>
        </w:tabs>
      </w:pPr>
    </w:lvl>
  </w:abstractNum>
  <w:abstractNum w:abstractNumId="3">
    <w:nsid w:val="00DD48BF"/>
    <w:multiLevelType w:val="multilevel"/>
    <w:tmpl w:val="00DD48BF"/>
    <w:lvl w:ilvl="0" w:tentative="0">
      <w:start w:val="1"/>
      <w:numFmt w:val="decimal"/>
      <w:lvlText w:val="%1."/>
      <w:lvlJc w:val="left"/>
      <w:pPr>
        <w:ind w:left="420" w:hanging="420"/>
      </w:pPr>
    </w:lvl>
    <w:lvl w:ilvl="1" w:tentative="0">
      <w:start w:val="1"/>
      <w:numFmt w:val="decimal"/>
      <w:lvlText w:val="(%2)"/>
      <w:lvlJc w:val="left"/>
      <w:pPr>
        <w:ind w:left="840" w:hanging="420"/>
      </w:pPr>
      <w:rPr>
        <w:rFonts w:hint="eastAsia"/>
      </w:r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4">
    <w:nsid w:val="018C1805"/>
    <w:multiLevelType w:val="multilevel"/>
    <w:tmpl w:val="018C1805"/>
    <w:lvl w:ilvl="0" w:tentative="0">
      <w:start w:val="1"/>
      <w:numFmt w:val="decimal"/>
      <w:lvlText w:val="%1."/>
      <w:lvlJc w:val="left"/>
      <w:pPr>
        <w:ind w:left="420" w:hanging="420"/>
      </w:p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5">
    <w:nsid w:val="064E1643"/>
    <w:multiLevelType w:val="multilevel"/>
    <w:tmpl w:val="064E1643"/>
    <w:lvl w:ilvl="0" w:tentative="0">
      <w:start w:val="1"/>
      <w:numFmt w:val="decimal"/>
      <w:lvlText w:val="(%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6">
    <w:nsid w:val="06882CE3"/>
    <w:multiLevelType w:val="multilevel"/>
    <w:tmpl w:val="06882CE3"/>
    <w:lvl w:ilvl="0" w:tentative="0">
      <w:start w:val="1"/>
      <w:numFmt w:val="decimal"/>
      <w:pStyle w:val="75"/>
      <w:suff w:val="nothing"/>
      <w:lvlText w:val="（%1）"/>
      <w:lvlJc w:val="left"/>
      <w:pPr>
        <w:ind w:left="1270" w:hanging="420"/>
      </w:pPr>
      <w:rPr>
        <w:b w:val="0"/>
        <w:bCs w:val="0"/>
        <w:i w:val="0"/>
        <w:iCs w:val="0"/>
        <w:caps w:val="0"/>
        <w:smallCaps w:val="0"/>
        <w:strike w:val="0"/>
        <w:dstrike w:val="0"/>
        <w:outline w:val="0"/>
        <w:shadow w:val="0"/>
        <w:emboss w:val="0"/>
        <w:imprint w:val="0"/>
        <w:vanish w:val="0"/>
        <w:spacing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props3d w14:extrusionH="0" w14:contourW="0" w14:prstMaterial="none"/>
        <w14:scene3d>
          <w14:lightRig w14:rig="threePt" w14:dir="t">
            <w14:rot w14:lat="0" w14:lon="0" w14:rev="0"/>
          </w14:lightRig>
        </w14:scene3d>
        <w14:ligatures w14:val="none"/>
        <w14:numForm w14:val="default"/>
        <w14:numSpacing w14:val="default"/>
      </w:rPr>
    </w:lvl>
    <w:lvl w:ilvl="1" w:tentative="0">
      <w:start w:val="1"/>
      <w:numFmt w:val="lowerLetter"/>
      <w:lvlText w:val="%2)"/>
      <w:lvlJc w:val="left"/>
      <w:pPr>
        <w:ind w:left="1254" w:hanging="420"/>
      </w:pPr>
    </w:lvl>
    <w:lvl w:ilvl="2" w:tentative="0">
      <w:start w:val="1"/>
      <w:numFmt w:val="lowerRoman"/>
      <w:lvlText w:val="%3."/>
      <w:lvlJc w:val="right"/>
      <w:pPr>
        <w:ind w:left="1674" w:hanging="420"/>
      </w:pPr>
    </w:lvl>
    <w:lvl w:ilvl="3" w:tentative="0">
      <w:start w:val="1"/>
      <w:numFmt w:val="decimal"/>
      <w:lvlText w:val="%4."/>
      <w:lvlJc w:val="left"/>
      <w:pPr>
        <w:ind w:left="2094" w:hanging="420"/>
      </w:pPr>
    </w:lvl>
    <w:lvl w:ilvl="4" w:tentative="0">
      <w:start w:val="1"/>
      <w:numFmt w:val="lowerLetter"/>
      <w:lvlText w:val="%5)"/>
      <w:lvlJc w:val="left"/>
      <w:pPr>
        <w:ind w:left="2514" w:hanging="420"/>
      </w:pPr>
    </w:lvl>
    <w:lvl w:ilvl="5" w:tentative="0">
      <w:start w:val="1"/>
      <w:numFmt w:val="lowerRoman"/>
      <w:lvlText w:val="%6."/>
      <w:lvlJc w:val="right"/>
      <w:pPr>
        <w:ind w:left="2934" w:hanging="420"/>
      </w:pPr>
    </w:lvl>
    <w:lvl w:ilvl="6" w:tentative="0">
      <w:start w:val="1"/>
      <w:numFmt w:val="decimal"/>
      <w:lvlText w:val="%7."/>
      <w:lvlJc w:val="left"/>
      <w:pPr>
        <w:ind w:left="3354" w:hanging="420"/>
      </w:pPr>
    </w:lvl>
    <w:lvl w:ilvl="7" w:tentative="0">
      <w:start w:val="1"/>
      <w:numFmt w:val="lowerLetter"/>
      <w:lvlText w:val="%8)"/>
      <w:lvlJc w:val="left"/>
      <w:pPr>
        <w:ind w:left="3774" w:hanging="420"/>
      </w:pPr>
    </w:lvl>
    <w:lvl w:ilvl="8" w:tentative="0">
      <w:start w:val="1"/>
      <w:numFmt w:val="lowerRoman"/>
      <w:lvlText w:val="%9."/>
      <w:lvlJc w:val="right"/>
      <w:pPr>
        <w:ind w:left="4194" w:hanging="420"/>
      </w:pPr>
    </w:lvl>
  </w:abstractNum>
  <w:abstractNum w:abstractNumId="7">
    <w:nsid w:val="14B21CC5"/>
    <w:multiLevelType w:val="multilevel"/>
    <w:tmpl w:val="14B21CC5"/>
    <w:lvl w:ilvl="0" w:tentative="0">
      <w:start w:val="1"/>
      <w:numFmt w:val="decimal"/>
      <w:lvlText w:val="%1."/>
      <w:lvlJc w:val="left"/>
      <w:pPr>
        <w:ind w:left="420" w:hanging="420"/>
      </w:p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8">
    <w:nsid w:val="14EB3DA3"/>
    <w:multiLevelType w:val="multilevel"/>
    <w:tmpl w:val="14EB3DA3"/>
    <w:lvl w:ilvl="0" w:tentative="0">
      <w:start w:val="1"/>
      <w:numFmt w:val="decimal"/>
      <w:lvlText w:val="(%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9">
    <w:nsid w:val="178D3D0E"/>
    <w:multiLevelType w:val="multilevel"/>
    <w:tmpl w:val="178D3D0E"/>
    <w:lvl w:ilvl="0" w:tentative="0">
      <w:start w:val="1"/>
      <w:numFmt w:val="bullet"/>
      <w:pStyle w:val="91"/>
      <w:lvlText w:val=""/>
      <w:lvlJc w:val="left"/>
      <w:pPr>
        <w:tabs>
          <w:tab w:val="left" w:pos="367"/>
        </w:tabs>
        <w:ind w:left="367" w:hanging="360"/>
      </w:pPr>
      <w:rPr>
        <w:rFonts w:hint="default" w:ascii="Symbol" w:hAnsi="Symbol"/>
      </w:rPr>
    </w:lvl>
    <w:lvl w:ilvl="1" w:tentative="0">
      <w:start w:val="1"/>
      <w:numFmt w:val="bullet"/>
      <w:lvlText w:val="o"/>
      <w:lvlJc w:val="left"/>
      <w:pPr>
        <w:tabs>
          <w:tab w:val="left" w:pos="1087"/>
        </w:tabs>
        <w:ind w:left="1087" w:hanging="360"/>
      </w:pPr>
      <w:rPr>
        <w:rFonts w:hint="default" w:ascii="Courier New" w:hAnsi="Courier New" w:cs="Courier New"/>
      </w:rPr>
    </w:lvl>
    <w:lvl w:ilvl="2" w:tentative="0">
      <w:start w:val="1"/>
      <w:numFmt w:val="bullet"/>
      <w:lvlText w:val=""/>
      <w:lvlJc w:val="left"/>
      <w:pPr>
        <w:tabs>
          <w:tab w:val="left" w:pos="1807"/>
        </w:tabs>
        <w:ind w:left="1807" w:hanging="360"/>
      </w:pPr>
      <w:rPr>
        <w:rFonts w:hint="default" w:ascii="Wingdings" w:hAnsi="Wingdings"/>
      </w:rPr>
    </w:lvl>
    <w:lvl w:ilvl="3" w:tentative="0">
      <w:start w:val="1"/>
      <w:numFmt w:val="bullet"/>
      <w:lvlText w:val=""/>
      <w:lvlJc w:val="left"/>
      <w:pPr>
        <w:tabs>
          <w:tab w:val="left" w:pos="2527"/>
        </w:tabs>
        <w:ind w:left="2527" w:hanging="360"/>
      </w:pPr>
      <w:rPr>
        <w:rFonts w:hint="default" w:ascii="Symbol" w:hAnsi="Symbol"/>
      </w:rPr>
    </w:lvl>
    <w:lvl w:ilvl="4" w:tentative="0">
      <w:start w:val="1"/>
      <w:numFmt w:val="bullet"/>
      <w:lvlText w:val="o"/>
      <w:lvlJc w:val="left"/>
      <w:pPr>
        <w:tabs>
          <w:tab w:val="left" w:pos="3247"/>
        </w:tabs>
        <w:ind w:left="3247" w:hanging="360"/>
      </w:pPr>
      <w:rPr>
        <w:rFonts w:hint="default" w:ascii="Courier New" w:hAnsi="Courier New" w:cs="Courier New"/>
      </w:rPr>
    </w:lvl>
    <w:lvl w:ilvl="5" w:tentative="0">
      <w:start w:val="1"/>
      <w:numFmt w:val="bullet"/>
      <w:lvlText w:val=""/>
      <w:lvlJc w:val="left"/>
      <w:pPr>
        <w:tabs>
          <w:tab w:val="left" w:pos="3967"/>
        </w:tabs>
        <w:ind w:left="3967" w:hanging="360"/>
      </w:pPr>
      <w:rPr>
        <w:rFonts w:hint="default" w:ascii="Wingdings" w:hAnsi="Wingdings"/>
      </w:rPr>
    </w:lvl>
    <w:lvl w:ilvl="6" w:tentative="0">
      <w:start w:val="1"/>
      <w:numFmt w:val="bullet"/>
      <w:lvlText w:val=""/>
      <w:lvlJc w:val="left"/>
      <w:pPr>
        <w:tabs>
          <w:tab w:val="left" w:pos="4687"/>
        </w:tabs>
        <w:ind w:left="4687" w:hanging="360"/>
      </w:pPr>
      <w:rPr>
        <w:rFonts w:hint="default" w:ascii="Symbol" w:hAnsi="Symbol"/>
      </w:rPr>
    </w:lvl>
    <w:lvl w:ilvl="7" w:tentative="0">
      <w:start w:val="1"/>
      <w:numFmt w:val="bullet"/>
      <w:lvlText w:val="o"/>
      <w:lvlJc w:val="left"/>
      <w:pPr>
        <w:tabs>
          <w:tab w:val="left" w:pos="5407"/>
        </w:tabs>
        <w:ind w:left="5407" w:hanging="360"/>
      </w:pPr>
      <w:rPr>
        <w:rFonts w:hint="default" w:ascii="Courier New" w:hAnsi="Courier New" w:cs="Courier New"/>
      </w:rPr>
    </w:lvl>
    <w:lvl w:ilvl="8" w:tentative="0">
      <w:start w:val="1"/>
      <w:numFmt w:val="bullet"/>
      <w:lvlText w:val=""/>
      <w:lvlJc w:val="left"/>
      <w:pPr>
        <w:tabs>
          <w:tab w:val="left" w:pos="6127"/>
        </w:tabs>
        <w:ind w:left="6127" w:hanging="360"/>
      </w:pPr>
      <w:rPr>
        <w:rFonts w:hint="default" w:ascii="Wingdings" w:hAnsi="Wingdings"/>
      </w:rPr>
    </w:lvl>
  </w:abstractNum>
  <w:abstractNum w:abstractNumId="10">
    <w:nsid w:val="1C6874FA"/>
    <w:multiLevelType w:val="multilevel"/>
    <w:tmpl w:val="1C6874FA"/>
    <w:lvl w:ilvl="0" w:tentative="0">
      <w:start w:val="1"/>
      <w:numFmt w:val="lowerLetter"/>
      <w:lvlText w:val="%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1">
    <w:nsid w:val="1E7B065C"/>
    <w:multiLevelType w:val="multilevel"/>
    <w:tmpl w:val="1E7B065C"/>
    <w:lvl w:ilvl="0" w:tentative="0">
      <w:start w:val="1"/>
      <w:numFmt w:val="decimal"/>
      <w:pStyle w:val="96"/>
      <w:lvlText w:val="%1)"/>
      <w:lvlJc w:val="left"/>
      <w:pPr>
        <w:ind w:left="1695" w:hanging="420"/>
      </w:pPr>
    </w:lvl>
    <w:lvl w:ilvl="1" w:tentative="0">
      <w:start w:val="1"/>
      <w:numFmt w:val="lowerLetter"/>
      <w:lvlText w:val="%2)"/>
      <w:lvlJc w:val="left"/>
      <w:pPr>
        <w:ind w:left="2115" w:hanging="420"/>
      </w:pPr>
    </w:lvl>
    <w:lvl w:ilvl="2" w:tentative="0">
      <w:start w:val="1"/>
      <w:numFmt w:val="lowerRoman"/>
      <w:lvlText w:val="%3."/>
      <w:lvlJc w:val="right"/>
      <w:pPr>
        <w:ind w:left="2535" w:hanging="420"/>
      </w:pPr>
    </w:lvl>
    <w:lvl w:ilvl="3" w:tentative="0">
      <w:start w:val="1"/>
      <w:numFmt w:val="decimal"/>
      <w:lvlText w:val="%4."/>
      <w:lvlJc w:val="left"/>
      <w:pPr>
        <w:ind w:left="2955" w:hanging="420"/>
      </w:pPr>
    </w:lvl>
    <w:lvl w:ilvl="4" w:tentative="0">
      <w:start w:val="1"/>
      <w:numFmt w:val="lowerLetter"/>
      <w:lvlText w:val="%5)"/>
      <w:lvlJc w:val="left"/>
      <w:pPr>
        <w:ind w:left="3375" w:hanging="420"/>
      </w:pPr>
    </w:lvl>
    <w:lvl w:ilvl="5" w:tentative="0">
      <w:start w:val="1"/>
      <w:numFmt w:val="lowerRoman"/>
      <w:lvlText w:val="%6."/>
      <w:lvlJc w:val="right"/>
      <w:pPr>
        <w:ind w:left="3795" w:hanging="420"/>
      </w:pPr>
    </w:lvl>
    <w:lvl w:ilvl="6" w:tentative="0">
      <w:start w:val="1"/>
      <w:numFmt w:val="decimal"/>
      <w:lvlText w:val="%7."/>
      <w:lvlJc w:val="left"/>
      <w:pPr>
        <w:ind w:left="4215" w:hanging="420"/>
      </w:pPr>
    </w:lvl>
    <w:lvl w:ilvl="7" w:tentative="0">
      <w:start w:val="1"/>
      <w:numFmt w:val="lowerLetter"/>
      <w:lvlText w:val="%8)"/>
      <w:lvlJc w:val="left"/>
      <w:pPr>
        <w:ind w:left="4635" w:hanging="420"/>
      </w:pPr>
    </w:lvl>
    <w:lvl w:ilvl="8" w:tentative="0">
      <w:start w:val="1"/>
      <w:numFmt w:val="lowerRoman"/>
      <w:lvlText w:val="%9."/>
      <w:lvlJc w:val="right"/>
      <w:pPr>
        <w:ind w:left="5055" w:hanging="420"/>
      </w:pPr>
    </w:lvl>
  </w:abstractNum>
  <w:abstractNum w:abstractNumId="12">
    <w:nsid w:val="1E7B1A10"/>
    <w:multiLevelType w:val="multilevel"/>
    <w:tmpl w:val="1E7B1A10"/>
    <w:lvl w:ilvl="0" w:tentative="0">
      <w:start w:val="1"/>
      <w:numFmt w:val="decimal"/>
      <w:lvlText w:val="%1."/>
      <w:lvlJc w:val="left"/>
      <w:pPr>
        <w:ind w:left="420" w:hanging="420"/>
      </w:p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3">
    <w:nsid w:val="23A81168"/>
    <w:multiLevelType w:val="multilevel"/>
    <w:tmpl w:val="23A81168"/>
    <w:lvl w:ilvl="0" w:tentative="0">
      <w:start w:val="1"/>
      <w:numFmt w:val="decimal"/>
      <w:lvlText w:val="(%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4">
    <w:nsid w:val="2B7443A3"/>
    <w:multiLevelType w:val="multilevel"/>
    <w:tmpl w:val="2B7443A3"/>
    <w:lvl w:ilvl="0" w:tentative="0">
      <w:start w:val="1"/>
      <w:numFmt w:val="decimal"/>
      <w:lvlText w:val="%1."/>
      <w:lvlJc w:val="left"/>
      <w:pPr>
        <w:ind w:left="425" w:hanging="425"/>
      </w:pPr>
      <w:rPr>
        <w:rFonts w:hint="default"/>
        <w:b w:val="0"/>
        <w:bCs w:val="0"/>
      </w:rPr>
    </w:lvl>
    <w:lvl w:ilvl="1" w:tentative="0">
      <w:start w:val="1"/>
      <w:numFmt w:val="decimal"/>
      <w:lvlText w:val="(%2)"/>
      <w:lvlJc w:val="left"/>
      <w:pPr>
        <w:ind w:left="0" w:firstLine="0"/>
      </w:pPr>
      <w:rPr>
        <w:rFonts w:hint="eastAsia"/>
      </w:rPr>
    </w:lvl>
    <w:lvl w:ilvl="2" w:tentative="0">
      <w:start w:val="1"/>
      <w:numFmt w:val="decimal"/>
      <w:lvlText w:val="%1.%2.%3."/>
      <w:lvlJc w:val="left"/>
      <w:pPr>
        <w:ind w:left="1508" w:hanging="708"/>
      </w:pPr>
      <w:rPr>
        <w:rFonts w:hint="default"/>
      </w:rPr>
    </w:lvl>
    <w:lvl w:ilvl="3" w:tentative="0">
      <w:start w:val="1"/>
      <w:numFmt w:val="decimal"/>
      <w:lvlText w:val="%1.%2.%3.%4."/>
      <w:lvlJc w:val="left"/>
      <w:pPr>
        <w:ind w:left="2053" w:hanging="853"/>
      </w:pPr>
      <w:rPr>
        <w:rFonts w:hint="default"/>
      </w:rPr>
    </w:lvl>
    <w:lvl w:ilvl="4" w:tentative="0">
      <w:start w:val="1"/>
      <w:numFmt w:val="decimal"/>
      <w:lvlText w:val="%1.%2.%3.%4.%5."/>
      <w:lvlJc w:val="left"/>
      <w:pPr>
        <w:ind w:left="2495" w:hanging="895"/>
      </w:pPr>
      <w:rPr>
        <w:rFonts w:hint="default"/>
      </w:rPr>
    </w:lvl>
    <w:lvl w:ilvl="5" w:tentative="0">
      <w:start w:val="1"/>
      <w:numFmt w:val="decimal"/>
      <w:lvlText w:val="%1.%2.%3.%4.%5.%6."/>
      <w:lvlJc w:val="left"/>
      <w:pPr>
        <w:ind w:left="3136" w:hanging="1136"/>
      </w:pPr>
      <w:rPr>
        <w:rFonts w:hint="default"/>
      </w:rPr>
    </w:lvl>
    <w:lvl w:ilvl="6" w:tentative="0">
      <w:start w:val="1"/>
      <w:numFmt w:val="decimal"/>
      <w:lvlText w:val="%1.%2.%3.%4.%5.%6.%7."/>
      <w:lvlJc w:val="left"/>
      <w:pPr>
        <w:ind w:left="3673" w:hanging="1273"/>
      </w:pPr>
      <w:rPr>
        <w:rFonts w:hint="default"/>
      </w:rPr>
    </w:lvl>
    <w:lvl w:ilvl="7" w:tentative="0">
      <w:start w:val="1"/>
      <w:numFmt w:val="decimal"/>
      <w:lvlText w:val="%1.%2.%3.%4.%5.%6.%7.%8."/>
      <w:lvlJc w:val="left"/>
      <w:pPr>
        <w:ind w:left="4218" w:hanging="1418"/>
      </w:pPr>
      <w:rPr>
        <w:rFonts w:hint="default"/>
      </w:rPr>
    </w:lvl>
    <w:lvl w:ilvl="8" w:tentative="0">
      <w:start w:val="1"/>
      <w:numFmt w:val="decimal"/>
      <w:lvlText w:val="%1.%2.%3.%4.%5.%6.%7.%8.%9."/>
      <w:lvlJc w:val="left"/>
      <w:pPr>
        <w:ind w:left="4648" w:hanging="1448"/>
      </w:pPr>
      <w:rPr>
        <w:rFonts w:hint="default"/>
      </w:rPr>
    </w:lvl>
  </w:abstractNum>
  <w:abstractNum w:abstractNumId="15">
    <w:nsid w:val="2D357F9E"/>
    <w:multiLevelType w:val="multilevel"/>
    <w:tmpl w:val="2D357F9E"/>
    <w:lvl w:ilvl="0" w:tentative="0">
      <w:start w:val="1"/>
      <w:numFmt w:val="decimal"/>
      <w:lvlText w:val="(%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6">
    <w:nsid w:val="2EFE7F9F"/>
    <w:multiLevelType w:val="multilevel"/>
    <w:tmpl w:val="2EFE7F9F"/>
    <w:lvl w:ilvl="0" w:tentative="0">
      <w:start w:val="1"/>
      <w:numFmt w:val="decimal"/>
      <w:lvlText w:val="%1."/>
      <w:lvlJc w:val="left"/>
      <w:pPr>
        <w:ind w:left="420" w:hanging="420"/>
      </w:p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7">
    <w:nsid w:val="32A63C99"/>
    <w:multiLevelType w:val="multilevel"/>
    <w:tmpl w:val="32A63C99"/>
    <w:lvl w:ilvl="0" w:tentative="0">
      <w:start w:val="1"/>
      <w:numFmt w:val="decimal"/>
      <w:lvlText w:val="(%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8">
    <w:nsid w:val="32B34AE5"/>
    <w:multiLevelType w:val="multilevel"/>
    <w:tmpl w:val="32B34AE5"/>
    <w:lvl w:ilvl="0" w:tentative="0">
      <w:start w:val="1"/>
      <w:numFmt w:val="lowerLetter"/>
      <w:lvlText w:val="%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9">
    <w:nsid w:val="3ADB3283"/>
    <w:multiLevelType w:val="multilevel"/>
    <w:tmpl w:val="3ADB3283"/>
    <w:lvl w:ilvl="0" w:tentative="0">
      <w:start w:val="1"/>
      <w:numFmt w:val="decimal"/>
      <w:lvlText w:val="%1."/>
      <w:lvlJc w:val="left"/>
      <w:pPr>
        <w:ind w:left="420" w:hanging="420"/>
      </w:pPr>
    </w:lvl>
    <w:lvl w:ilvl="1" w:tentative="0">
      <w:start w:val="1"/>
      <w:numFmt w:val="decimal"/>
      <w:lvlText w:val="%2、"/>
      <w:lvlJc w:val="left"/>
      <w:pPr>
        <w:ind w:left="780" w:hanging="360"/>
      </w:pPr>
      <w:rPr>
        <w:rFonts w:hint="default"/>
      </w:r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20">
    <w:nsid w:val="451B5FC7"/>
    <w:multiLevelType w:val="multilevel"/>
    <w:tmpl w:val="451B5FC7"/>
    <w:lvl w:ilvl="0" w:tentative="0">
      <w:start w:val="1"/>
      <w:numFmt w:val="decimal"/>
      <w:lvlText w:val="(%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21">
    <w:nsid w:val="484F5130"/>
    <w:multiLevelType w:val="multilevel"/>
    <w:tmpl w:val="484F5130"/>
    <w:lvl w:ilvl="0" w:tentative="0">
      <w:start w:val="1"/>
      <w:numFmt w:val="decimal"/>
      <w:lvlText w:val="%1."/>
      <w:lvlJc w:val="left"/>
      <w:pPr>
        <w:ind w:left="420" w:hanging="420"/>
      </w:pPr>
    </w:lvl>
    <w:lvl w:ilvl="1" w:tentative="0">
      <w:start w:val="1"/>
      <w:numFmt w:val="decimal"/>
      <w:lvlText w:val="(%2)"/>
      <w:lvlJc w:val="left"/>
      <w:pPr>
        <w:ind w:left="840" w:hanging="420"/>
      </w:pPr>
      <w:rPr>
        <w:rFonts w:hint="eastAsia"/>
      </w:r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22">
    <w:nsid w:val="4CB32FC8"/>
    <w:multiLevelType w:val="multilevel"/>
    <w:tmpl w:val="4CB32FC8"/>
    <w:lvl w:ilvl="0" w:tentative="0">
      <w:start w:val="1"/>
      <w:numFmt w:val="upperLetter"/>
      <w:pStyle w:val="8"/>
      <w:lvlText w:val="%1)"/>
      <w:lvlJc w:val="left"/>
      <w:pPr>
        <w:tabs>
          <w:tab w:val="left" w:pos="420"/>
        </w:tabs>
        <w:ind w:left="420" w:hanging="420"/>
      </w:p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23">
    <w:nsid w:val="4F7D43D0"/>
    <w:multiLevelType w:val="multilevel"/>
    <w:tmpl w:val="4F7D43D0"/>
    <w:lvl w:ilvl="0" w:tentative="0">
      <w:start w:val="1"/>
      <w:numFmt w:val="decimal"/>
      <w:lvlText w:val="(%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24">
    <w:nsid w:val="509C3677"/>
    <w:multiLevelType w:val="multilevel"/>
    <w:tmpl w:val="509C3677"/>
    <w:lvl w:ilvl="0" w:tentative="0">
      <w:start w:val="1"/>
      <w:numFmt w:val="decimal"/>
      <w:lvlText w:val="%1."/>
      <w:lvlJc w:val="left"/>
      <w:pPr>
        <w:ind w:left="420" w:hanging="420"/>
      </w:pPr>
      <w:rPr>
        <w:rFonts w:hint="eastAsia"/>
      </w:rPr>
    </w:lvl>
    <w:lvl w:ilvl="1" w:tentative="0">
      <w:start w:val="1"/>
      <w:numFmt w:val="lowerLetter"/>
      <w:lvlText w:val="%2)"/>
      <w:lvlJc w:val="left"/>
      <w:pPr>
        <w:ind w:left="840" w:hanging="420"/>
      </w:pPr>
      <w:rPr>
        <w:rFonts w:hint="eastAsia"/>
      </w:rPr>
    </w:lvl>
    <w:lvl w:ilvl="2" w:tentative="0">
      <w:start w:val="1"/>
      <w:numFmt w:val="lowerRoman"/>
      <w:lvlText w:val="%3."/>
      <w:lvlJc w:val="right"/>
      <w:pPr>
        <w:ind w:left="1260" w:hanging="420"/>
      </w:pPr>
      <w:rPr>
        <w:rFonts w:hint="eastAsia"/>
      </w:rPr>
    </w:lvl>
    <w:lvl w:ilvl="3" w:tentative="0">
      <w:start w:val="1"/>
      <w:numFmt w:val="decimal"/>
      <w:lvlText w:val="%4."/>
      <w:lvlJc w:val="left"/>
      <w:pPr>
        <w:ind w:left="1680" w:hanging="420"/>
      </w:pPr>
      <w:rPr>
        <w:rFonts w:hint="eastAsia"/>
      </w:rPr>
    </w:lvl>
    <w:lvl w:ilvl="4" w:tentative="0">
      <w:start w:val="1"/>
      <w:numFmt w:val="lowerLetter"/>
      <w:lvlText w:val="%5)"/>
      <w:lvlJc w:val="left"/>
      <w:pPr>
        <w:ind w:left="2100" w:hanging="420"/>
      </w:pPr>
      <w:rPr>
        <w:rFonts w:hint="eastAsia"/>
      </w:rPr>
    </w:lvl>
    <w:lvl w:ilvl="5" w:tentative="0">
      <w:start w:val="1"/>
      <w:numFmt w:val="lowerRoman"/>
      <w:lvlText w:val="%6."/>
      <w:lvlJc w:val="right"/>
      <w:pPr>
        <w:ind w:left="2520" w:hanging="420"/>
      </w:pPr>
      <w:rPr>
        <w:rFonts w:hint="eastAsia"/>
      </w:rPr>
    </w:lvl>
    <w:lvl w:ilvl="6" w:tentative="0">
      <w:start w:val="1"/>
      <w:numFmt w:val="decimal"/>
      <w:lvlText w:val="%7."/>
      <w:lvlJc w:val="left"/>
      <w:pPr>
        <w:ind w:left="2940" w:hanging="420"/>
      </w:pPr>
      <w:rPr>
        <w:rFonts w:hint="eastAsia"/>
      </w:rPr>
    </w:lvl>
    <w:lvl w:ilvl="7" w:tentative="0">
      <w:start w:val="1"/>
      <w:numFmt w:val="lowerLetter"/>
      <w:lvlText w:val="%8)"/>
      <w:lvlJc w:val="left"/>
      <w:pPr>
        <w:ind w:left="3360" w:hanging="420"/>
      </w:pPr>
      <w:rPr>
        <w:rFonts w:hint="eastAsia"/>
      </w:rPr>
    </w:lvl>
    <w:lvl w:ilvl="8" w:tentative="0">
      <w:start w:val="1"/>
      <w:numFmt w:val="lowerRoman"/>
      <w:lvlText w:val="%9."/>
      <w:lvlJc w:val="right"/>
      <w:pPr>
        <w:ind w:left="3780" w:hanging="420"/>
      </w:pPr>
      <w:rPr>
        <w:rFonts w:hint="eastAsia"/>
      </w:rPr>
    </w:lvl>
  </w:abstractNum>
  <w:abstractNum w:abstractNumId="25">
    <w:nsid w:val="520018B0"/>
    <w:multiLevelType w:val="multilevel"/>
    <w:tmpl w:val="520018B0"/>
    <w:lvl w:ilvl="0" w:tentative="0">
      <w:start w:val="1"/>
      <w:numFmt w:val="decimal"/>
      <w:pStyle w:val="74"/>
      <w:lvlText w:val="%1."/>
      <w:lvlJc w:val="left"/>
      <w:pPr>
        <w:ind w:left="1260" w:hanging="420"/>
      </w:pPr>
      <w:rPr>
        <w:b w:val="0"/>
      </w:rPr>
    </w:lvl>
    <w:lvl w:ilvl="1" w:tentative="0">
      <w:start w:val="1"/>
      <w:numFmt w:val="lowerLetter"/>
      <w:lvlText w:val="%2)"/>
      <w:lvlJc w:val="left"/>
      <w:pPr>
        <w:ind w:left="1680" w:hanging="420"/>
      </w:pPr>
    </w:lvl>
    <w:lvl w:ilvl="2" w:tentative="0">
      <w:start w:val="1"/>
      <w:numFmt w:val="lowerRoman"/>
      <w:lvlText w:val="%3."/>
      <w:lvlJc w:val="right"/>
      <w:pPr>
        <w:ind w:left="2100" w:hanging="420"/>
      </w:pPr>
    </w:lvl>
    <w:lvl w:ilvl="3" w:tentative="0">
      <w:start w:val="1"/>
      <w:numFmt w:val="decimal"/>
      <w:lvlText w:val="%4."/>
      <w:lvlJc w:val="left"/>
      <w:pPr>
        <w:ind w:left="2520" w:hanging="420"/>
      </w:pPr>
    </w:lvl>
    <w:lvl w:ilvl="4" w:tentative="0">
      <w:start w:val="1"/>
      <w:numFmt w:val="lowerLetter"/>
      <w:lvlText w:val="%5)"/>
      <w:lvlJc w:val="left"/>
      <w:pPr>
        <w:ind w:left="2940" w:hanging="420"/>
      </w:pPr>
    </w:lvl>
    <w:lvl w:ilvl="5" w:tentative="0">
      <w:start w:val="1"/>
      <w:numFmt w:val="lowerRoman"/>
      <w:lvlText w:val="%6."/>
      <w:lvlJc w:val="right"/>
      <w:pPr>
        <w:ind w:left="3360" w:hanging="420"/>
      </w:pPr>
    </w:lvl>
    <w:lvl w:ilvl="6" w:tentative="0">
      <w:start w:val="1"/>
      <w:numFmt w:val="decimal"/>
      <w:lvlText w:val="%7."/>
      <w:lvlJc w:val="left"/>
      <w:pPr>
        <w:ind w:left="3780" w:hanging="420"/>
      </w:pPr>
    </w:lvl>
    <w:lvl w:ilvl="7" w:tentative="0">
      <w:start w:val="1"/>
      <w:numFmt w:val="lowerLetter"/>
      <w:lvlText w:val="%8)"/>
      <w:lvlJc w:val="left"/>
      <w:pPr>
        <w:ind w:left="4200" w:hanging="420"/>
      </w:pPr>
    </w:lvl>
    <w:lvl w:ilvl="8" w:tentative="0">
      <w:start w:val="1"/>
      <w:numFmt w:val="lowerRoman"/>
      <w:lvlText w:val="%9."/>
      <w:lvlJc w:val="right"/>
      <w:pPr>
        <w:ind w:left="4620" w:hanging="420"/>
      </w:pPr>
    </w:lvl>
  </w:abstractNum>
  <w:abstractNum w:abstractNumId="26">
    <w:nsid w:val="560F40FB"/>
    <w:multiLevelType w:val="multilevel"/>
    <w:tmpl w:val="560F40FB"/>
    <w:lvl w:ilvl="0" w:tentative="0">
      <w:start w:val="1"/>
      <w:numFmt w:val="lowerLetter"/>
      <w:pStyle w:val="101"/>
      <w:lvlText w:val="%1)"/>
      <w:lvlJc w:val="left"/>
      <w:pPr>
        <w:ind w:left="1260" w:hanging="420"/>
      </w:pPr>
    </w:lvl>
    <w:lvl w:ilvl="1" w:tentative="0">
      <w:start w:val="1"/>
      <w:numFmt w:val="lowerLetter"/>
      <w:lvlText w:val="%2)"/>
      <w:lvlJc w:val="left"/>
      <w:pPr>
        <w:ind w:left="1680" w:hanging="420"/>
      </w:pPr>
    </w:lvl>
    <w:lvl w:ilvl="2" w:tentative="0">
      <w:start w:val="1"/>
      <w:numFmt w:val="lowerRoman"/>
      <w:lvlText w:val="%3."/>
      <w:lvlJc w:val="right"/>
      <w:pPr>
        <w:ind w:left="2100" w:hanging="420"/>
      </w:pPr>
    </w:lvl>
    <w:lvl w:ilvl="3" w:tentative="0">
      <w:start w:val="1"/>
      <w:numFmt w:val="decimal"/>
      <w:lvlText w:val="%4."/>
      <w:lvlJc w:val="left"/>
      <w:pPr>
        <w:ind w:left="2520" w:hanging="420"/>
      </w:pPr>
    </w:lvl>
    <w:lvl w:ilvl="4" w:tentative="0">
      <w:start w:val="1"/>
      <w:numFmt w:val="lowerLetter"/>
      <w:lvlText w:val="%5)"/>
      <w:lvlJc w:val="left"/>
      <w:pPr>
        <w:ind w:left="2940" w:hanging="420"/>
      </w:pPr>
    </w:lvl>
    <w:lvl w:ilvl="5" w:tentative="0">
      <w:start w:val="1"/>
      <w:numFmt w:val="lowerRoman"/>
      <w:lvlText w:val="%6."/>
      <w:lvlJc w:val="right"/>
      <w:pPr>
        <w:ind w:left="3360" w:hanging="420"/>
      </w:pPr>
    </w:lvl>
    <w:lvl w:ilvl="6" w:tentative="0">
      <w:start w:val="1"/>
      <w:numFmt w:val="decimal"/>
      <w:lvlText w:val="%7."/>
      <w:lvlJc w:val="left"/>
      <w:pPr>
        <w:ind w:left="3780" w:hanging="420"/>
      </w:pPr>
    </w:lvl>
    <w:lvl w:ilvl="7" w:tentative="0">
      <w:start w:val="1"/>
      <w:numFmt w:val="lowerLetter"/>
      <w:lvlText w:val="%8)"/>
      <w:lvlJc w:val="left"/>
      <w:pPr>
        <w:ind w:left="4200" w:hanging="420"/>
      </w:pPr>
    </w:lvl>
    <w:lvl w:ilvl="8" w:tentative="0">
      <w:start w:val="1"/>
      <w:numFmt w:val="lowerRoman"/>
      <w:lvlText w:val="%9."/>
      <w:lvlJc w:val="right"/>
      <w:pPr>
        <w:ind w:left="4620" w:hanging="420"/>
      </w:pPr>
    </w:lvl>
  </w:abstractNum>
  <w:abstractNum w:abstractNumId="27">
    <w:nsid w:val="56D20133"/>
    <w:multiLevelType w:val="multilevel"/>
    <w:tmpl w:val="56D20133"/>
    <w:lvl w:ilvl="0" w:tentative="0">
      <w:start w:val="1"/>
      <w:numFmt w:val="chineseCountingThousand"/>
      <w:pStyle w:val="73"/>
      <w:lvlText w:val="(%1)"/>
      <w:lvlJc w:val="left"/>
      <w:pPr>
        <w:ind w:left="1130" w:hanging="420"/>
      </w:pPr>
      <w:rPr>
        <w:rFonts w:hint="eastAsia"/>
        <w:b/>
      </w:rPr>
    </w:lvl>
    <w:lvl w:ilvl="1" w:tentative="0">
      <w:start w:val="1"/>
      <w:numFmt w:val="decimal"/>
      <w:lvlText w:val="%2."/>
      <w:lvlJc w:val="left"/>
      <w:pPr>
        <w:ind w:left="1200" w:hanging="360"/>
      </w:pPr>
      <w:rPr>
        <w:rFonts w:hint="default"/>
        <w:b w:val="0"/>
      </w:rPr>
    </w:lvl>
    <w:lvl w:ilvl="2" w:tentative="0">
      <w:start w:val="1"/>
      <w:numFmt w:val="lowerRoman"/>
      <w:lvlText w:val="%3."/>
      <w:lvlJc w:val="right"/>
      <w:pPr>
        <w:ind w:left="1680" w:hanging="420"/>
      </w:pPr>
      <w:rPr>
        <w:rFonts w:hint="eastAsia"/>
      </w:rPr>
    </w:lvl>
    <w:lvl w:ilvl="3" w:tentative="0">
      <w:start w:val="1"/>
      <w:numFmt w:val="decimal"/>
      <w:lvlText w:val="（%4）"/>
      <w:lvlJc w:val="left"/>
      <w:pPr>
        <w:ind w:left="2400" w:hanging="720"/>
      </w:pPr>
      <w:rPr>
        <w:rFonts w:hint="default"/>
      </w:rPr>
    </w:lvl>
    <w:lvl w:ilvl="4" w:tentative="0">
      <w:start w:val="1"/>
      <w:numFmt w:val="lowerLetter"/>
      <w:lvlText w:val="%5)"/>
      <w:lvlJc w:val="left"/>
      <w:pPr>
        <w:ind w:left="2520" w:hanging="420"/>
      </w:pPr>
      <w:rPr>
        <w:rFonts w:hint="eastAsia"/>
      </w:rPr>
    </w:lvl>
    <w:lvl w:ilvl="5" w:tentative="0">
      <w:start w:val="1"/>
      <w:numFmt w:val="lowerRoman"/>
      <w:lvlText w:val="%6."/>
      <w:lvlJc w:val="right"/>
      <w:pPr>
        <w:ind w:left="2940" w:hanging="420"/>
      </w:pPr>
      <w:rPr>
        <w:rFonts w:hint="eastAsia"/>
      </w:rPr>
    </w:lvl>
    <w:lvl w:ilvl="6" w:tentative="0">
      <w:start w:val="1"/>
      <w:numFmt w:val="decimal"/>
      <w:lvlText w:val="%7."/>
      <w:lvlJc w:val="left"/>
      <w:pPr>
        <w:ind w:left="3360" w:hanging="420"/>
      </w:pPr>
      <w:rPr>
        <w:rFonts w:hint="eastAsia"/>
      </w:rPr>
    </w:lvl>
    <w:lvl w:ilvl="7" w:tentative="0">
      <w:start w:val="1"/>
      <w:numFmt w:val="lowerLetter"/>
      <w:lvlText w:val="%8)"/>
      <w:lvlJc w:val="left"/>
      <w:pPr>
        <w:ind w:left="3780" w:hanging="420"/>
      </w:pPr>
      <w:rPr>
        <w:rFonts w:hint="eastAsia"/>
      </w:rPr>
    </w:lvl>
    <w:lvl w:ilvl="8" w:tentative="0">
      <w:start w:val="1"/>
      <w:numFmt w:val="lowerRoman"/>
      <w:lvlText w:val="%9."/>
      <w:lvlJc w:val="right"/>
      <w:pPr>
        <w:ind w:left="4200" w:hanging="420"/>
      </w:pPr>
      <w:rPr>
        <w:rFonts w:hint="eastAsia"/>
      </w:rPr>
    </w:lvl>
  </w:abstractNum>
  <w:abstractNum w:abstractNumId="28">
    <w:nsid w:val="59247C4D"/>
    <w:multiLevelType w:val="multilevel"/>
    <w:tmpl w:val="59247C4D"/>
    <w:lvl w:ilvl="0" w:tentative="0">
      <w:start w:val="1"/>
      <w:numFmt w:val="decimal"/>
      <w:lvlText w:val="%1."/>
      <w:lvlJc w:val="left"/>
      <w:pPr>
        <w:ind w:left="420" w:hanging="420"/>
      </w:pPr>
      <w:rPr>
        <w:color w:val="auto"/>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29">
    <w:nsid w:val="5FD53A7A"/>
    <w:multiLevelType w:val="multilevel"/>
    <w:tmpl w:val="5FD53A7A"/>
    <w:lvl w:ilvl="0" w:tentative="0">
      <w:start w:val="1"/>
      <w:numFmt w:val="decimal"/>
      <w:lvlText w:val="%1."/>
      <w:lvlJc w:val="left"/>
      <w:pPr>
        <w:ind w:left="420" w:hanging="420"/>
      </w:p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30">
    <w:nsid w:val="6533282B"/>
    <w:multiLevelType w:val="multilevel"/>
    <w:tmpl w:val="6533282B"/>
    <w:lvl w:ilvl="0" w:tentative="0">
      <w:start w:val="1"/>
      <w:numFmt w:val="decimal"/>
      <w:lvlText w:val="(%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31">
    <w:nsid w:val="656A6EAE"/>
    <w:multiLevelType w:val="multilevel"/>
    <w:tmpl w:val="656A6EAE"/>
    <w:lvl w:ilvl="0" w:tentative="0">
      <w:start w:val="1"/>
      <w:numFmt w:val="chineseCountingThousand"/>
      <w:pStyle w:val="72"/>
      <w:suff w:val="nothing"/>
      <w:lvlText w:val="%1、"/>
      <w:lvlJc w:val="left"/>
      <w:pPr>
        <w:ind w:left="2972" w:hanging="420"/>
      </w:pPr>
      <w:rPr>
        <w:rFonts w:hint="eastAsia" w:ascii="宋体" w:hAnsi="宋体" w:eastAsia="宋体"/>
        <w:sz w:val="24"/>
        <w:szCs w:val="24"/>
        <w:highlight w:val="none"/>
        <w:lang w:val="en-US"/>
      </w:rPr>
    </w:lvl>
    <w:lvl w:ilvl="1" w:tentative="0">
      <w:start w:val="1"/>
      <w:numFmt w:val="lowerLetter"/>
      <w:lvlText w:val="%2)"/>
      <w:lvlJc w:val="left"/>
      <w:pPr>
        <w:ind w:left="840" w:hanging="420"/>
      </w:pPr>
      <w:rPr>
        <w:rFonts w:hint="eastAsia"/>
      </w:rPr>
    </w:lvl>
    <w:lvl w:ilvl="2" w:tentative="0">
      <w:start w:val="1"/>
      <w:numFmt w:val="lowerRoman"/>
      <w:lvlText w:val="%3."/>
      <w:lvlJc w:val="right"/>
      <w:pPr>
        <w:ind w:left="1260" w:hanging="420"/>
      </w:pPr>
      <w:rPr>
        <w:rFonts w:hint="eastAsia"/>
      </w:rPr>
    </w:lvl>
    <w:lvl w:ilvl="3" w:tentative="0">
      <w:start w:val="1"/>
      <w:numFmt w:val="decimal"/>
      <w:lvlText w:val="%4."/>
      <w:lvlJc w:val="left"/>
      <w:pPr>
        <w:ind w:left="1680" w:hanging="420"/>
      </w:pPr>
      <w:rPr>
        <w:rFonts w:hint="eastAsia"/>
      </w:rPr>
    </w:lvl>
    <w:lvl w:ilvl="4" w:tentative="0">
      <w:start w:val="1"/>
      <w:numFmt w:val="lowerLetter"/>
      <w:lvlText w:val="%5)"/>
      <w:lvlJc w:val="left"/>
      <w:pPr>
        <w:ind w:left="2100" w:hanging="420"/>
      </w:pPr>
      <w:rPr>
        <w:rFonts w:hint="eastAsia"/>
      </w:rPr>
    </w:lvl>
    <w:lvl w:ilvl="5" w:tentative="0">
      <w:start w:val="1"/>
      <w:numFmt w:val="lowerRoman"/>
      <w:lvlText w:val="%6."/>
      <w:lvlJc w:val="right"/>
      <w:pPr>
        <w:ind w:left="2520" w:hanging="420"/>
      </w:pPr>
      <w:rPr>
        <w:rFonts w:hint="eastAsia"/>
      </w:rPr>
    </w:lvl>
    <w:lvl w:ilvl="6" w:tentative="0">
      <w:start w:val="1"/>
      <w:numFmt w:val="decimal"/>
      <w:lvlText w:val="%7."/>
      <w:lvlJc w:val="left"/>
      <w:pPr>
        <w:ind w:left="2940" w:hanging="420"/>
      </w:pPr>
      <w:rPr>
        <w:rFonts w:hint="eastAsia"/>
      </w:rPr>
    </w:lvl>
    <w:lvl w:ilvl="7" w:tentative="0">
      <w:start w:val="1"/>
      <w:numFmt w:val="lowerLetter"/>
      <w:lvlText w:val="%8)"/>
      <w:lvlJc w:val="left"/>
      <w:pPr>
        <w:ind w:left="3360" w:hanging="420"/>
      </w:pPr>
      <w:rPr>
        <w:rFonts w:hint="eastAsia"/>
      </w:rPr>
    </w:lvl>
    <w:lvl w:ilvl="8" w:tentative="0">
      <w:start w:val="1"/>
      <w:numFmt w:val="lowerRoman"/>
      <w:lvlText w:val="%9."/>
      <w:lvlJc w:val="right"/>
      <w:pPr>
        <w:ind w:left="3780" w:hanging="420"/>
      </w:pPr>
      <w:rPr>
        <w:rFonts w:hint="eastAsia"/>
      </w:rPr>
    </w:lvl>
  </w:abstractNum>
  <w:abstractNum w:abstractNumId="32">
    <w:nsid w:val="7BEB3A99"/>
    <w:multiLevelType w:val="multilevel"/>
    <w:tmpl w:val="7BEB3A99"/>
    <w:lvl w:ilvl="0" w:tentative="0">
      <w:start w:val="1"/>
      <w:numFmt w:val="decimal"/>
      <w:lvlText w:val="(%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num w:numId="1">
    <w:abstractNumId w:val="22"/>
  </w:num>
  <w:num w:numId="2">
    <w:abstractNumId w:val="31"/>
  </w:num>
  <w:num w:numId="3">
    <w:abstractNumId w:val="27"/>
  </w:num>
  <w:num w:numId="4">
    <w:abstractNumId w:val="25"/>
  </w:num>
  <w:num w:numId="5">
    <w:abstractNumId w:val="6"/>
  </w:num>
  <w:num w:numId="6">
    <w:abstractNumId w:val="9"/>
  </w:num>
  <w:num w:numId="7">
    <w:abstractNumId w:val="11"/>
  </w:num>
  <w:num w:numId="8">
    <w:abstractNumId w:val="26"/>
  </w:num>
  <w:num w:numId="9">
    <w:abstractNumId w:val="28"/>
  </w:num>
  <w:num w:numId="10">
    <w:abstractNumId w:val="24"/>
  </w:num>
  <w:num w:numId="11">
    <w:abstractNumId w:val="7"/>
  </w:num>
  <w:num w:numId="12">
    <w:abstractNumId w:val="20"/>
  </w:num>
  <w:num w:numId="13">
    <w:abstractNumId w:val="21"/>
  </w:num>
  <w:num w:numId="14">
    <w:abstractNumId w:val="3"/>
  </w:num>
  <w:num w:numId="15">
    <w:abstractNumId w:val="5"/>
  </w:num>
  <w:num w:numId="16">
    <w:abstractNumId w:val="1"/>
  </w:num>
  <w:num w:numId="17">
    <w:abstractNumId w:val="30"/>
  </w:num>
  <w:num w:numId="18">
    <w:abstractNumId w:val="18"/>
  </w:num>
  <w:num w:numId="19">
    <w:abstractNumId w:val="10"/>
  </w:num>
  <w:num w:numId="20">
    <w:abstractNumId w:val="23"/>
  </w:num>
  <w:num w:numId="21">
    <w:abstractNumId w:val="4"/>
  </w:num>
  <w:num w:numId="22">
    <w:abstractNumId w:val="13"/>
  </w:num>
  <w:num w:numId="23">
    <w:abstractNumId w:val="8"/>
  </w:num>
  <w:num w:numId="24">
    <w:abstractNumId w:val="29"/>
  </w:num>
  <w:num w:numId="25">
    <w:abstractNumId w:val="17"/>
  </w:num>
  <w:num w:numId="26">
    <w:abstractNumId w:val="32"/>
  </w:num>
  <w:num w:numId="27">
    <w:abstractNumId w:val="0"/>
  </w:num>
  <w:num w:numId="28">
    <w:abstractNumId w:val="14"/>
  </w:num>
  <w:num w:numId="29">
    <w:abstractNumId w:val="15"/>
  </w:num>
  <w:num w:numId="30">
    <w:abstractNumId w:val="16"/>
  </w:num>
  <w:num w:numId="31">
    <w:abstractNumId w:val="19"/>
  </w:num>
  <w:num w:numId="32">
    <w:abstractNumId w:val="12"/>
  </w:num>
  <w:num w:numId="3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90"/>
  <w:doNotDisplayPageBoundaries w:val="1"/>
  <w:bordersDoNotSurroundHeader w:val="0"/>
  <w:bordersDoNotSurroundFooter w:val="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nforcement="0"/>
  <w:defaultTabStop w:val="0"/>
  <w:drawingGridHorizontalSpacing w:val="105"/>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NjhlYzA2M2U3YjFkYWEwOWE3MmFiNGEzODVjMGM5M2YifQ=="/>
  </w:docVars>
  <w:rsids>
    <w:rsidRoot w:val="003447BF"/>
    <w:rsid w:val="0000027A"/>
    <w:rsid w:val="00000F16"/>
    <w:rsid w:val="0000152E"/>
    <w:rsid w:val="00001A3D"/>
    <w:rsid w:val="00002019"/>
    <w:rsid w:val="00002207"/>
    <w:rsid w:val="0000340B"/>
    <w:rsid w:val="000035F7"/>
    <w:rsid w:val="00003F46"/>
    <w:rsid w:val="000048DB"/>
    <w:rsid w:val="00005610"/>
    <w:rsid w:val="000056AD"/>
    <w:rsid w:val="00006391"/>
    <w:rsid w:val="000066B1"/>
    <w:rsid w:val="00007938"/>
    <w:rsid w:val="00010929"/>
    <w:rsid w:val="000109D5"/>
    <w:rsid w:val="00011432"/>
    <w:rsid w:val="000126A7"/>
    <w:rsid w:val="00013B94"/>
    <w:rsid w:val="00013CCE"/>
    <w:rsid w:val="00013EAD"/>
    <w:rsid w:val="000140D2"/>
    <w:rsid w:val="00015473"/>
    <w:rsid w:val="00015598"/>
    <w:rsid w:val="00016598"/>
    <w:rsid w:val="00016CB2"/>
    <w:rsid w:val="000176E1"/>
    <w:rsid w:val="00017D18"/>
    <w:rsid w:val="0002035A"/>
    <w:rsid w:val="000203CA"/>
    <w:rsid w:val="00022189"/>
    <w:rsid w:val="000226D8"/>
    <w:rsid w:val="00022BFC"/>
    <w:rsid w:val="000235F1"/>
    <w:rsid w:val="00027A64"/>
    <w:rsid w:val="000305C9"/>
    <w:rsid w:val="000307EF"/>
    <w:rsid w:val="00030FFD"/>
    <w:rsid w:val="0003105F"/>
    <w:rsid w:val="00031718"/>
    <w:rsid w:val="0003264D"/>
    <w:rsid w:val="0003278E"/>
    <w:rsid w:val="00033243"/>
    <w:rsid w:val="00033657"/>
    <w:rsid w:val="00033970"/>
    <w:rsid w:val="00034F4C"/>
    <w:rsid w:val="00035188"/>
    <w:rsid w:val="00035689"/>
    <w:rsid w:val="00035E1B"/>
    <w:rsid w:val="0003685E"/>
    <w:rsid w:val="000368DB"/>
    <w:rsid w:val="000370BC"/>
    <w:rsid w:val="00037DE7"/>
    <w:rsid w:val="000405B1"/>
    <w:rsid w:val="00041058"/>
    <w:rsid w:val="0004181F"/>
    <w:rsid w:val="000418B4"/>
    <w:rsid w:val="000423FB"/>
    <w:rsid w:val="00042463"/>
    <w:rsid w:val="00042AB2"/>
    <w:rsid w:val="000433A7"/>
    <w:rsid w:val="00043A88"/>
    <w:rsid w:val="00043CE0"/>
    <w:rsid w:val="00043FE0"/>
    <w:rsid w:val="00045598"/>
    <w:rsid w:val="00045889"/>
    <w:rsid w:val="00046197"/>
    <w:rsid w:val="00046326"/>
    <w:rsid w:val="0004713F"/>
    <w:rsid w:val="0005010C"/>
    <w:rsid w:val="00050BF7"/>
    <w:rsid w:val="00050FAE"/>
    <w:rsid w:val="0005230D"/>
    <w:rsid w:val="00052373"/>
    <w:rsid w:val="0005298D"/>
    <w:rsid w:val="00052C94"/>
    <w:rsid w:val="00053A3B"/>
    <w:rsid w:val="00054226"/>
    <w:rsid w:val="000547D0"/>
    <w:rsid w:val="000551E5"/>
    <w:rsid w:val="00055490"/>
    <w:rsid w:val="00057C2D"/>
    <w:rsid w:val="000602B2"/>
    <w:rsid w:val="0006147C"/>
    <w:rsid w:val="0006230D"/>
    <w:rsid w:val="000629E2"/>
    <w:rsid w:val="00062D25"/>
    <w:rsid w:val="00064E83"/>
    <w:rsid w:val="000656D0"/>
    <w:rsid w:val="00066685"/>
    <w:rsid w:val="00066946"/>
    <w:rsid w:val="0006733F"/>
    <w:rsid w:val="000702C7"/>
    <w:rsid w:val="0007042D"/>
    <w:rsid w:val="00070E1E"/>
    <w:rsid w:val="000711E0"/>
    <w:rsid w:val="000711E8"/>
    <w:rsid w:val="00071B86"/>
    <w:rsid w:val="00072BC3"/>
    <w:rsid w:val="00073F28"/>
    <w:rsid w:val="00074924"/>
    <w:rsid w:val="000752C4"/>
    <w:rsid w:val="00075794"/>
    <w:rsid w:val="00075EE4"/>
    <w:rsid w:val="00076359"/>
    <w:rsid w:val="00076460"/>
    <w:rsid w:val="000769C0"/>
    <w:rsid w:val="00080245"/>
    <w:rsid w:val="0008030B"/>
    <w:rsid w:val="00080724"/>
    <w:rsid w:val="0008074A"/>
    <w:rsid w:val="00080AC1"/>
    <w:rsid w:val="00080FDE"/>
    <w:rsid w:val="00080FEA"/>
    <w:rsid w:val="0008127C"/>
    <w:rsid w:val="00081392"/>
    <w:rsid w:val="00081757"/>
    <w:rsid w:val="000825CD"/>
    <w:rsid w:val="00082C65"/>
    <w:rsid w:val="00082E41"/>
    <w:rsid w:val="00083710"/>
    <w:rsid w:val="00083B90"/>
    <w:rsid w:val="00083C90"/>
    <w:rsid w:val="00083F30"/>
    <w:rsid w:val="00084463"/>
    <w:rsid w:val="00084746"/>
    <w:rsid w:val="000850E9"/>
    <w:rsid w:val="000859E7"/>
    <w:rsid w:val="00085F92"/>
    <w:rsid w:val="00086313"/>
    <w:rsid w:val="00086CF7"/>
    <w:rsid w:val="00086DF0"/>
    <w:rsid w:val="000903E0"/>
    <w:rsid w:val="00090426"/>
    <w:rsid w:val="0009085D"/>
    <w:rsid w:val="000915B5"/>
    <w:rsid w:val="0009177F"/>
    <w:rsid w:val="000924E1"/>
    <w:rsid w:val="00092ABD"/>
    <w:rsid w:val="00093597"/>
    <w:rsid w:val="00093F23"/>
    <w:rsid w:val="000940E3"/>
    <w:rsid w:val="0009563B"/>
    <w:rsid w:val="00095825"/>
    <w:rsid w:val="000977D2"/>
    <w:rsid w:val="00097E39"/>
    <w:rsid w:val="000A0008"/>
    <w:rsid w:val="000A23F5"/>
    <w:rsid w:val="000A2765"/>
    <w:rsid w:val="000A424B"/>
    <w:rsid w:val="000A477E"/>
    <w:rsid w:val="000A5072"/>
    <w:rsid w:val="000A5F66"/>
    <w:rsid w:val="000A6D9E"/>
    <w:rsid w:val="000A6ED8"/>
    <w:rsid w:val="000A70C0"/>
    <w:rsid w:val="000A76FF"/>
    <w:rsid w:val="000B005C"/>
    <w:rsid w:val="000B08E0"/>
    <w:rsid w:val="000B0F49"/>
    <w:rsid w:val="000B1025"/>
    <w:rsid w:val="000B1727"/>
    <w:rsid w:val="000B1922"/>
    <w:rsid w:val="000B2779"/>
    <w:rsid w:val="000B47AD"/>
    <w:rsid w:val="000B6146"/>
    <w:rsid w:val="000B663B"/>
    <w:rsid w:val="000B6DD8"/>
    <w:rsid w:val="000C0825"/>
    <w:rsid w:val="000C17A9"/>
    <w:rsid w:val="000C3ED3"/>
    <w:rsid w:val="000C530E"/>
    <w:rsid w:val="000C542C"/>
    <w:rsid w:val="000C6390"/>
    <w:rsid w:val="000C6793"/>
    <w:rsid w:val="000C6B8A"/>
    <w:rsid w:val="000C7700"/>
    <w:rsid w:val="000C775D"/>
    <w:rsid w:val="000C79E7"/>
    <w:rsid w:val="000C7F80"/>
    <w:rsid w:val="000D0155"/>
    <w:rsid w:val="000D01FA"/>
    <w:rsid w:val="000D07ED"/>
    <w:rsid w:val="000D14A9"/>
    <w:rsid w:val="000D191B"/>
    <w:rsid w:val="000D1930"/>
    <w:rsid w:val="000D2866"/>
    <w:rsid w:val="000D2F21"/>
    <w:rsid w:val="000D3FBC"/>
    <w:rsid w:val="000D402B"/>
    <w:rsid w:val="000D486A"/>
    <w:rsid w:val="000D486E"/>
    <w:rsid w:val="000D4B05"/>
    <w:rsid w:val="000D4D7C"/>
    <w:rsid w:val="000D4D91"/>
    <w:rsid w:val="000D4EA2"/>
    <w:rsid w:val="000D55C4"/>
    <w:rsid w:val="000D696D"/>
    <w:rsid w:val="000D6EF1"/>
    <w:rsid w:val="000D6F72"/>
    <w:rsid w:val="000D7392"/>
    <w:rsid w:val="000D789A"/>
    <w:rsid w:val="000D7A5B"/>
    <w:rsid w:val="000E0577"/>
    <w:rsid w:val="000E0D71"/>
    <w:rsid w:val="000E2607"/>
    <w:rsid w:val="000E353F"/>
    <w:rsid w:val="000E3A8A"/>
    <w:rsid w:val="000E406C"/>
    <w:rsid w:val="000E444B"/>
    <w:rsid w:val="000E52B4"/>
    <w:rsid w:val="000E5428"/>
    <w:rsid w:val="000E5A9F"/>
    <w:rsid w:val="000F02A3"/>
    <w:rsid w:val="000F0526"/>
    <w:rsid w:val="000F1557"/>
    <w:rsid w:val="000F16A9"/>
    <w:rsid w:val="000F1864"/>
    <w:rsid w:val="000F259B"/>
    <w:rsid w:val="000F42DF"/>
    <w:rsid w:val="000F4402"/>
    <w:rsid w:val="000F4554"/>
    <w:rsid w:val="000F456F"/>
    <w:rsid w:val="000F47D9"/>
    <w:rsid w:val="000F492D"/>
    <w:rsid w:val="000F513A"/>
    <w:rsid w:val="000F53D5"/>
    <w:rsid w:val="000F59FE"/>
    <w:rsid w:val="000F653C"/>
    <w:rsid w:val="000F7555"/>
    <w:rsid w:val="001005DF"/>
    <w:rsid w:val="00100B27"/>
    <w:rsid w:val="00102526"/>
    <w:rsid w:val="0010264B"/>
    <w:rsid w:val="00102A52"/>
    <w:rsid w:val="001043B1"/>
    <w:rsid w:val="00104A1E"/>
    <w:rsid w:val="00104B25"/>
    <w:rsid w:val="001057C3"/>
    <w:rsid w:val="00105D37"/>
    <w:rsid w:val="00106C22"/>
    <w:rsid w:val="00107537"/>
    <w:rsid w:val="001112B1"/>
    <w:rsid w:val="0011183F"/>
    <w:rsid w:val="00111EE3"/>
    <w:rsid w:val="00112A18"/>
    <w:rsid w:val="00112B20"/>
    <w:rsid w:val="00112C44"/>
    <w:rsid w:val="0011354F"/>
    <w:rsid w:val="00113C11"/>
    <w:rsid w:val="00114457"/>
    <w:rsid w:val="00114A6A"/>
    <w:rsid w:val="00114E84"/>
    <w:rsid w:val="00115384"/>
    <w:rsid w:val="0011558A"/>
    <w:rsid w:val="001158C7"/>
    <w:rsid w:val="001160D8"/>
    <w:rsid w:val="00117FBD"/>
    <w:rsid w:val="00120F1C"/>
    <w:rsid w:val="001222AB"/>
    <w:rsid w:val="001228DF"/>
    <w:rsid w:val="00123312"/>
    <w:rsid w:val="00123E58"/>
    <w:rsid w:val="00125049"/>
    <w:rsid w:val="001258FA"/>
    <w:rsid w:val="001263DC"/>
    <w:rsid w:val="0012656C"/>
    <w:rsid w:val="001277F0"/>
    <w:rsid w:val="001302A7"/>
    <w:rsid w:val="001302DE"/>
    <w:rsid w:val="001306E4"/>
    <w:rsid w:val="00131E0F"/>
    <w:rsid w:val="001328C8"/>
    <w:rsid w:val="0013423B"/>
    <w:rsid w:val="00134F74"/>
    <w:rsid w:val="00136356"/>
    <w:rsid w:val="0013681A"/>
    <w:rsid w:val="001369FF"/>
    <w:rsid w:val="00136D53"/>
    <w:rsid w:val="00140089"/>
    <w:rsid w:val="0014056C"/>
    <w:rsid w:val="001408DD"/>
    <w:rsid w:val="00140987"/>
    <w:rsid w:val="001410DE"/>
    <w:rsid w:val="00142434"/>
    <w:rsid w:val="00144EE4"/>
    <w:rsid w:val="001450B9"/>
    <w:rsid w:val="00146011"/>
    <w:rsid w:val="00146A76"/>
    <w:rsid w:val="00146B9A"/>
    <w:rsid w:val="001471B2"/>
    <w:rsid w:val="001471D4"/>
    <w:rsid w:val="00147997"/>
    <w:rsid w:val="0015024C"/>
    <w:rsid w:val="00152E22"/>
    <w:rsid w:val="0015365C"/>
    <w:rsid w:val="00154D0D"/>
    <w:rsid w:val="0015566D"/>
    <w:rsid w:val="001560B9"/>
    <w:rsid w:val="00156A1E"/>
    <w:rsid w:val="00156FFD"/>
    <w:rsid w:val="00157933"/>
    <w:rsid w:val="001608A1"/>
    <w:rsid w:val="00160CA8"/>
    <w:rsid w:val="00160CB4"/>
    <w:rsid w:val="00161267"/>
    <w:rsid w:val="00161531"/>
    <w:rsid w:val="001616BC"/>
    <w:rsid w:val="00161CFF"/>
    <w:rsid w:val="00161D40"/>
    <w:rsid w:val="00161DA3"/>
    <w:rsid w:val="00162435"/>
    <w:rsid w:val="00162D8B"/>
    <w:rsid w:val="001637D7"/>
    <w:rsid w:val="00163D64"/>
    <w:rsid w:val="0016432A"/>
    <w:rsid w:val="0016482D"/>
    <w:rsid w:val="00164ED6"/>
    <w:rsid w:val="001652C8"/>
    <w:rsid w:val="00165631"/>
    <w:rsid w:val="001656BB"/>
    <w:rsid w:val="001670D7"/>
    <w:rsid w:val="001708B6"/>
    <w:rsid w:val="00171392"/>
    <w:rsid w:val="00171559"/>
    <w:rsid w:val="00172ADC"/>
    <w:rsid w:val="001730A9"/>
    <w:rsid w:val="00174662"/>
    <w:rsid w:val="00175179"/>
    <w:rsid w:val="00175588"/>
    <w:rsid w:val="00175B6B"/>
    <w:rsid w:val="00176026"/>
    <w:rsid w:val="001764BB"/>
    <w:rsid w:val="00177487"/>
    <w:rsid w:val="001778BA"/>
    <w:rsid w:val="00177CEC"/>
    <w:rsid w:val="001801B1"/>
    <w:rsid w:val="00180DE7"/>
    <w:rsid w:val="001813B3"/>
    <w:rsid w:val="00181668"/>
    <w:rsid w:val="00181780"/>
    <w:rsid w:val="0018208D"/>
    <w:rsid w:val="001825E7"/>
    <w:rsid w:val="0018438A"/>
    <w:rsid w:val="0018443E"/>
    <w:rsid w:val="00184A4E"/>
    <w:rsid w:val="001851E0"/>
    <w:rsid w:val="001853C2"/>
    <w:rsid w:val="00185A05"/>
    <w:rsid w:val="00185FEE"/>
    <w:rsid w:val="001864A2"/>
    <w:rsid w:val="001866B6"/>
    <w:rsid w:val="00187848"/>
    <w:rsid w:val="00187F43"/>
    <w:rsid w:val="00190182"/>
    <w:rsid w:val="0019057F"/>
    <w:rsid w:val="00191F3F"/>
    <w:rsid w:val="0019365A"/>
    <w:rsid w:val="001953D9"/>
    <w:rsid w:val="00196915"/>
    <w:rsid w:val="001A0476"/>
    <w:rsid w:val="001A0538"/>
    <w:rsid w:val="001A0FCA"/>
    <w:rsid w:val="001A15A7"/>
    <w:rsid w:val="001A254F"/>
    <w:rsid w:val="001A3DE7"/>
    <w:rsid w:val="001A65C4"/>
    <w:rsid w:val="001A703C"/>
    <w:rsid w:val="001A70BD"/>
    <w:rsid w:val="001A7DCC"/>
    <w:rsid w:val="001A7F57"/>
    <w:rsid w:val="001B00E7"/>
    <w:rsid w:val="001B1B87"/>
    <w:rsid w:val="001B26F2"/>
    <w:rsid w:val="001B6A93"/>
    <w:rsid w:val="001B7533"/>
    <w:rsid w:val="001C109C"/>
    <w:rsid w:val="001C19B5"/>
    <w:rsid w:val="001C31F0"/>
    <w:rsid w:val="001C3E8E"/>
    <w:rsid w:val="001C5CFC"/>
    <w:rsid w:val="001C67D3"/>
    <w:rsid w:val="001C70F9"/>
    <w:rsid w:val="001C7893"/>
    <w:rsid w:val="001C7BCC"/>
    <w:rsid w:val="001C7D91"/>
    <w:rsid w:val="001D06C5"/>
    <w:rsid w:val="001D0776"/>
    <w:rsid w:val="001D09BD"/>
    <w:rsid w:val="001D1CE6"/>
    <w:rsid w:val="001D1DF0"/>
    <w:rsid w:val="001D2121"/>
    <w:rsid w:val="001D3404"/>
    <w:rsid w:val="001D5539"/>
    <w:rsid w:val="001D59EF"/>
    <w:rsid w:val="001D6A5D"/>
    <w:rsid w:val="001D71CD"/>
    <w:rsid w:val="001D7B27"/>
    <w:rsid w:val="001E0B5C"/>
    <w:rsid w:val="001E174C"/>
    <w:rsid w:val="001E1FE5"/>
    <w:rsid w:val="001E258F"/>
    <w:rsid w:val="001E2AFF"/>
    <w:rsid w:val="001E345D"/>
    <w:rsid w:val="001E39F6"/>
    <w:rsid w:val="001E3C1B"/>
    <w:rsid w:val="001E4164"/>
    <w:rsid w:val="001E4691"/>
    <w:rsid w:val="001E516F"/>
    <w:rsid w:val="001E5607"/>
    <w:rsid w:val="001E5675"/>
    <w:rsid w:val="001E5BFD"/>
    <w:rsid w:val="001E70F0"/>
    <w:rsid w:val="001E79B9"/>
    <w:rsid w:val="001F0C45"/>
    <w:rsid w:val="001F0E74"/>
    <w:rsid w:val="001F139E"/>
    <w:rsid w:val="001F245F"/>
    <w:rsid w:val="001F2532"/>
    <w:rsid w:val="001F25F8"/>
    <w:rsid w:val="001F2BB0"/>
    <w:rsid w:val="001F2BB6"/>
    <w:rsid w:val="001F337F"/>
    <w:rsid w:val="001F3A41"/>
    <w:rsid w:val="001F421A"/>
    <w:rsid w:val="001F46E7"/>
    <w:rsid w:val="001F6864"/>
    <w:rsid w:val="001F7DFE"/>
    <w:rsid w:val="002008FE"/>
    <w:rsid w:val="00201AF3"/>
    <w:rsid w:val="00203CF7"/>
    <w:rsid w:val="00203E0E"/>
    <w:rsid w:val="002047D2"/>
    <w:rsid w:val="002049D9"/>
    <w:rsid w:val="00204C71"/>
    <w:rsid w:val="00205850"/>
    <w:rsid w:val="00206BBC"/>
    <w:rsid w:val="002071C3"/>
    <w:rsid w:val="002106C9"/>
    <w:rsid w:val="00210E98"/>
    <w:rsid w:val="00211EEF"/>
    <w:rsid w:val="00212730"/>
    <w:rsid w:val="00213214"/>
    <w:rsid w:val="002140B9"/>
    <w:rsid w:val="00214855"/>
    <w:rsid w:val="00215B5E"/>
    <w:rsid w:val="0021691A"/>
    <w:rsid w:val="00216AA3"/>
    <w:rsid w:val="00221870"/>
    <w:rsid w:val="002230A3"/>
    <w:rsid w:val="00223BB6"/>
    <w:rsid w:val="00223BD3"/>
    <w:rsid w:val="00223D75"/>
    <w:rsid w:val="00225886"/>
    <w:rsid w:val="00225B3C"/>
    <w:rsid w:val="002272FC"/>
    <w:rsid w:val="00227783"/>
    <w:rsid w:val="00227E8F"/>
    <w:rsid w:val="0023041A"/>
    <w:rsid w:val="002332EF"/>
    <w:rsid w:val="00233517"/>
    <w:rsid w:val="00233CAC"/>
    <w:rsid w:val="00234927"/>
    <w:rsid w:val="00234ABD"/>
    <w:rsid w:val="00234FBE"/>
    <w:rsid w:val="00234FC1"/>
    <w:rsid w:val="00235792"/>
    <w:rsid w:val="00236056"/>
    <w:rsid w:val="002363AE"/>
    <w:rsid w:val="0023657F"/>
    <w:rsid w:val="00236F49"/>
    <w:rsid w:val="00237B23"/>
    <w:rsid w:val="00237E16"/>
    <w:rsid w:val="002401A4"/>
    <w:rsid w:val="002404EF"/>
    <w:rsid w:val="00240742"/>
    <w:rsid w:val="00240890"/>
    <w:rsid w:val="0024103C"/>
    <w:rsid w:val="002418C4"/>
    <w:rsid w:val="00241F46"/>
    <w:rsid w:val="0024334D"/>
    <w:rsid w:val="002437BF"/>
    <w:rsid w:val="00243ABB"/>
    <w:rsid w:val="00243AF4"/>
    <w:rsid w:val="002444B8"/>
    <w:rsid w:val="00244CAA"/>
    <w:rsid w:val="00245A2F"/>
    <w:rsid w:val="00245CCD"/>
    <w:rsid w:val="00245E2D"/>
    <w:rsid w:val="00245F4A"/>
    <w:rsid w:val="00246113"/>
    <w:rsid w:val="00247266"/>
    <w:rsid w:val="00247518"/>
    <w:rsid w:val="002479FB"/>
    <w:rsid w:val="002504AA"/>
    <w:rsid w:val="002504C0"/>
    <w:rsid w:val="002515E1"/>
    <w:rsid w:val="002516D9"/>
    <w:rsid w:val="0025278D"/>
    <w:rsid w:val="002536E2"/>
    <w:rsid w:val="00253B8D"/>
    <w:rsid w:val="0025474D"/>
    <w:rsid w:val="0025548A"/>
    <w:rsid w:val="002563AF"/>
    <w:rsid w:val="00256532"/>
    <w:rsid w:val="00256680"/>
    <w:rsid w:val="00256758"/>
    <w:rsid w:val="002575B7"/>
    <w:rsid w:val="00257BC9"/>
    <w:rsid w:val="0026150E"/>
    <w:rsid w:val="00261D7B"/>
    <w:rsid w:val="00261FDD"/>
    <w:rsid w:val="0026276C"/>
    <w:rsid w:val="00262D2F"/>
    <w:rsid w:val="00263675"/>
    <w:rsid w:val="002638BB"/>
    <w:rsid w:val="0026442A"/>
    <w:rsid w:val="0026483C"/>
    <w:rsid w:val="002650E7"/>
    <w:rsid w:val="002664F7"/>
    <w:rsid w:val="0026753F"/>
    <w:rsid w:val="002678C2"/>
    <w:rsid w:val="00270292"/>
    <w:rsid w:val="00270705"/>
    <w:rsid w:val="00271240"/>
    <w:rsid w:val="002718A9"/>
    <w:rsid w:val="00271A2C"/>
    <w:rsid w:val="002726E6"/>
    <w:rsid w:val="00273123"/>
    <w:rsid w:val="0027316E"/>
    <w:rsid w:val="002740CA"/>
    <w:rsid w:val="00274153"/>
    <w:rsid w:val="00274683"/>
    <w:rsid w:val="0027477C"/>
    <w:rsid w:val="00274F6E"/>
    <w:rsid w:val="002758D8"/>
    <w:rsid w:val="00275B67"/>
    <w:rsid w:val="00276A6F"/>
    <w:rsid w:val="00277AAF"/>
    <w:rsid w:val="00277FD4"/>
    <w:rsid w:val="002806B7"/>
    <w:rsid w:val="00281775"/>
    <w:rsid w:val="0028179E"/>
    <w:rsid w:val="00281AA6"/>
    <w:rsid w:val="002833D0"/>
    <w:rsid w:val="00285C1C"/>
    <w:rsid w:val="00285CB2"/>
    <w:rsid w:val="00285D9D"/>
    <w:rsid w:val="002860C6"/>
    <w:rsid w:val="00286D70"/>
    <w:rsid w:val="00287E26"/>
    <w:rsid w:val="002908CC"/>
    <w:rsid w:val="00290995"/>
    <w:rsid w:val="002922B8"/>
    <w:rsid w:val="00292AAB"/>
    <w:rsid w:val="00292AEF"/>
    <w:rsid w:val="00292CAA"/>
    <w:rsid w:val="00293545"/>
    <w:rsid w:val="00293E14"/>
    <w:rsid w:val="00295456"/>
    <w:rsid w:val="00296619"/>
    <w:rsid w:val="00296699"/>
    <w:rsid w:val="00297CE2"/>
    <w:rsid w:val="002A00A4"/>
    <w:rsid w:val="002A00F9"/>
    <w:rsid w:val="002A2078"/>
    <w:rsid w:val="002A2153"/>
    <w:rsid w:val="002A2208"/>
    <w:rsid w:val="002A2AAF"/>
    <w:rsid w:val="002A310F"/>
    <w:rsid w:val="002A3BF8"/>
    <w:rsid w:val="002A3F0B"/>
    <w:rsid w:val="002A3FFA"/>
    <w:rsid w:val="002A421A"/>
    <w:rsid w:val="002A564E"/>
    <w:rsid w:val="002A5D95"/>
    <w:rsid w:val="002A5DB0"/>
    <w:rsid w:val="002A63F2"/>
    <w:rsid w:val="002A7007"/>
    <w:rsid w:val="002B01E2"/>
    <w:rsid w:val="002B09DE"/>
    <w:rsid w:val="002B12F1"/>
    <w:rsid w:val="002B18B8"/>
    <w:rsid w:val="002B1CE6"/>
    <w:rsid w:val="002B2899"/>
    <w:rsid w:val="002B4D3C"/>
    <w:rsid w:val="002B5016"/>
    <w:rsid w:val="002B5135"/>
    <w:rsid w:val="002B5881"/>
    <w:rsid w:val="002B5BE4"/>
    <w:rsid w:val="002B6529"/>
    <w:rsid w:val="002B6E49"/>
    <w:rsid w:val="002C05CA"/>
    <w:rsid w:val="002C0B22"/>
    <w:rsid w:val="002C1DA8"/>
    <w:rsid w:val="002C243C"/>
    <w:rsid w:val="002C296F"/>
    <w:rsid w:val="002C2972"/>
    <w:rsid w:val="002C364F"/>
    <w:rsid w:val="002C4010"/>
    <w:rsid w:val="002C44D2"/>
    <w:rsid w:val="002C4507"/>
    <w:rsid w:val="002C48E5"/>
    <w:rsid w:val="002C4A24"/>
    <w:rsid w:val="002C662D"/>
    <w:rsid w:val="002C6DD5"/>
    <w:rsid w:val="002C7038"/>
    <w:rsid w:val="002C7783"/>
    <w:rsid w:val="002D037B"/>
    <w:rsid w:val="002D046C"/>
    <w:rsid w:val="002D15B4"/>
    <w:rsid w:val="002D185A"/>
    <w:rsid w:val="002D1D78"/>
    <w:rsid w:val="002D1F57"/>
    <w:rsid w:val="002D2A91"/>
    <w:rsid w:val="002D32FC"/>
    <w:rsid w:val="002D34FF"/>
    <w:rsid w:val="002D3628"/>
    <w:rsid w:val="002D3F28"/>
    <w:rsid w:val="002D4284"/>
    <w:rsid w:val="002D478F"/>
    <w:rsid w:val="002D50D1"/>
    <w:rsid w:val="002D5583"/>
    <w:rsid w:val="002D5723"/>
    <w:rsid w:val="002D59E9"/>
    <w:rsid w:val="002D5AF4"/>
    <w:rsid w:val="002D700F"/>
    <w:rsid w:val="002D79BD"/>
    <w:rsid w:val="002D79E9"/>
    <w:rsid w:val="002D7D93"/>
    <w:rsid w:val="002E123C"/>
    <w:rsid w:val="002E1A3C"/>
    <w:rsid w:val="002E206E"/>
    <w:rsid w:val="002E24B9"/>
    <w:rsid w:val="002E2A22"/>
    <w:rsid w:val="002E3F33"/>
    <w:rsid w:val="002E4AB6"/>
    <w:rsid w:val="002E50E3"/>
    <w:rsid w:val="002E556A"/>
    <w:rsid w:val="002E67FF"/>
    <w:rsid w:val="002E7155"/>
    <w:rsid w:val="002F0C2A"/>
    <w:rsid w:val="002F1CFC"/>
    <w:rsid w:val="002F33AF"/>
    <w:rsid w:val="002F36BB"/>
    <w:rsid w:val="002F48AA"/>
    <w:rsid w:val="002F48AC"/>
    <w:rsid w:val="002F4AC5"/>
    <w:rsid w:val="002F4DAA"/>
    <w:rsid w:val="002F4F1E"/>
    <w:rsid w:val="002F5213"/>
    <w:rsid w:val="002F7B85"/>
    <w:rsid w:val="002F7BA7"/>
    <w:rsid w:val="002F7CFF"/>
    <w:rsid w:val="0030183C"/>
    <w:rsid w:val="00301F28"/>
    <w:rsid w:val="00302ADA"/>
    <w:rsid w:val="00303AD0"/>
    <w:rsid w:val="0030419C"/>
    <w:rsid w:val="00304399"/>
    <w:rsid w:val="0030440D"/>
    <w:rsid w:val="00304740"/>
    <w:rsid w:val="00304D04"/>
    <w:rsid w:val="0030503D"/>
    <w:rsid w:val="003058C6"/>
    <w:rsid w:val="003058F1"/>
    <w:rsid w:val="003059FD"/>
    <w:rsid w:val="0030792A"/>
    <w:rsid w:val="00311961"/>
    <w:rsid w:val="00311F53"/>
    <w:rsid w:val="00312AD3"/>
    <w:rsid w:val="00312C29"/>
    <w:rsid w:val="00313E78"/>
    <w:rsid w:val="00313F9C"/>
    <w:rsid w:val="00314F83"/>
    <w:rsid w:val="003154DE"/>
    <w:rsid w:val="0031577A"/>
    <w:rsid w:val="00316501"/>
    <w:rsid w:val="0031711A"/>
    <w:rsid w:val="0031770E"/>
    <w:rsid w:val="003210EA"/>
    <w:rsid w:val="00321610"/>
    <w:rsid w:val="0032300C"/>
    <w:rsid w:val="00323607"/>
    <w:rsid w:val="00323CEF"/>
    <w:rsid w:val="00323D93"/>
    <w:rsid w:val="00324522"/>
    <w:rsid w:val="00324AF8"/>
    <w:rsid w:val="00324E43"/>
    <w:rsid w:val="003250CA"/>
    <w:rsid w:val="003257B8"/>
    <w:rsid w:val="003275B3"/>
    <w:rsid w:val="003275C9"/>
    <w:rsid w:val="003276D0"/>
    <w:rsid w:val="00327747"/>
    <w:rsid w:val="00327831"/>
    <w:rsid w:val="00327895"/>
    <w:rsid w:val="00327E98"/>
    <w:rsid w:val="00330680"/>
    <w:rsid w:val="00330689"/>
    <w:rsid w:val="00331F81"/>
    <w:rsid w:val="00332BD5"/>
    <w:rsid w:val="00332D92"/>
    <w:rsid w:val="003331CD"/>
    <w:rsid w:val="00333EF5"/>
    <w:rsid w:val="00334FCD"/>
    <w:rsid w:val="00335731"/>
    <w:rsid w:val="00335BD2"/>
    <w:rsid w:val="00335CFC"/>
    <w:rsid w:val="00335FDD"/>
    <w:rsid w:val="00336698"/>
    <w:rsid w:val="0033708F"/>
    <w:rsid w:val="003372AA"/>
    <w:rsid w:val="00337328"/>
    <w:rsid w:val="003379B7"/>
    <w:rsid w:val="00337C82"/>
    <w:rsid w:val="00337D1A"/>
    <w:rsid w:val="00340410"/>
    <w:rsid w:val="00341DDB"/>
    <w:rsid w:val="003439EC"/>
    <w:rsid w:val="003447BF"/>
    <w:rsid w:val="00344B0C"/>
    <w:rsid w:val="003453AC"/>
    <w:rsid w:val="003453B7"/>
    <w:rsid w:val="003456EA"/>
    <w:rsid w:val="00347301"/>
    <w:rsid w:val="003509D8"/>
    <w:rsid w:val="003513DF"/>
    <w:rsid w:val="003517BF"/>
    <w:rsid w:val="003517E2"/>
    <w:rsid w:val="00353563"/>
    <w:rsid w:val="003539CF"/>
    <w:rsid w:val="003539D5"/>
    <w:rsid w:val="00354518"/>
    <w:rsid w:val="003548F6"/>
    <w:rsid w:val="00354936"/>
    <w:rsid w:val="00355F34"/>
    <w:rsid w:val="00360B4A"/>
    <w:rsid w:val="0036161B"/>
    <w:rsid w:val="003620EE"/>
    <w:rsid w:val="00362A01"/>
    <w:rsid w:val="00362AA0"/>
    <w:rsid w:val="00363894"/>
    <w:rsid w:val="0036441D"/>
    <w:rsid w:val="003670E6"/>
    <w:rsid w:val="003673B8"/>
    <w:rsid w:val="00367488"/>
    <w:rsid w:val="003704BC"/>
    <w:rsid w:val="003705D4"/>
    <w:rsid w:val="003712A8"/>
    <w:rsid w:val="00371C55"/>
    <w:rsid w:val="0037221C"/>
    <w:rsid w:val="00372CDD"/>
    <w:rsid w:val="00372F98"/>
    <w:rsid w:val="003730E5"/>
    <w:rsid w:val="0037345E"/>
    <w:rsid w:val="0037431E"/>
    <w:rsid w:val="0037444F"/>
    <w:rsid w:val="0037492B"/>
    <w:rsid w:val="00376454"/>
    <w:rsid w:val="00376E6B"/>
    <w:rsid w:val="00377C5E"/>
    <w:rsid w:val="00380AC9"/>
    <w:rsid w:val="00380F99"/>
    <w:rsid w:val="0038148A"/>
    <w:rsid w:val="003814D2"/>
    <w:rsid w:val="0038248B"/>
    <w:rsid w:val="00382E34"/>
    <w:rsid w:val="00385AF6"/>
    <w:rsid w:val="00385B5E"/>
    <w:rsid w:val="00385DB1"/>
    <w:rsid w:val="003865BF"/>
    <w:rsid w:val="00387BFB"/>
    <w:rsid w:val="003903BA"/>
    <w:rsid w:val="0039049F"/>
    <w:rsid w:val="00391251"/>
    <w:rsid w:val="00391CBF"/>
    <w:rsid w:val="00391FA7"/>
    <w:rsid w:val="00392271"/>
    <w:rsid w:val="0039243F"/>
    <w:rsid w:val="00393515"/>
    <w:rsid w:val="003936E5"/>
    <w:rsid w:val="00394FDC"/>
    <w:rsid w:val="00395111"/>
    <w:rsid w:val="00396005"/>
    <w:rsid w:val="003962B6"/>
    <w:rsid w:val="00396471"/>
    <w:rsid w:val="00397485"/>
    <w:rsid w:val="003A0D2D"/>
    <w:rsid w:val="003A157A"/>
    <w:rsid w:val="003A1CA9"/>
    <w:rsid w:val="003A22A0"/>
    <w:rsid w:val="003A238B"/>
    <w:rsid w:val="003A31B0"/>
    <w:rsid w:val="003A4916"/>
    <w:rsid w:val="003A4B24"/>
    <w:rsid w:val="003A5AB3"/>
    <w:rsid w:val="003A616E"/>
    <w:rsid w:val="003A6EA0"/>
    <w:rsid w:val="003A7020"/>
    <w:rsid w:val="003B0112"/>
    <w:rsid w:val="003B030C"/>
    <w:rsid w:val="003B0768"/>
    <w:rsid w:val="003B12E1"/>
    <w:rsid w:val="003B12F5"/>
    <w:rsid w:val="003B155E"/>
    <w:rsid w:val="003B2025"/>
    <w:rsid w:val="003B2CCD"/>
    <w:rsid w:val="003B403D"/>
    <w:rsid w:val="003B4186"/>
    <w:rsid w:val="003B43AE"/>
    <w:rsid w:val="003B4A6D"/>
    <w:rsid w:val="003B554A"/>
    <w:rsid w:val="003B5EAE"/>
    <w:rsid w:val="003B6086"/>
    <w:rsid w:val="003B647F"/>
    <w:rsid w:val="003B6F25"/>
    <w:rsid w:val="003B707F"/>
    <w:rsid w:val="003B7877"/>
    <w:rsid w:val="003C0548"/>
    <w:rsid w:val="003C0D3E"/>
    <w:rsid w:val="003C1101"/>
    <w:rsid w:val="003C1A89"/>
    <w:rsid w:val="003C1FDE"/>
    <w:rsid w:val="003C2ADE"/>
    <w:rsid w:val="003C2FD4"/>
    <w:rsid w:val="003C43BB"/>
    <w:rsid w:val="003C4BB9"/>
    <w:rsid w:val="003C51CE"/>
    <w:rsid w:val="003C5891"/>
    <w:rsid w:val="003C5CB8"/>
    <w:rsid w:val="003C5EE4"/>
    <w:rsid w:val="003C7426"/>
    <w:rsid w:val="003C78AD"/>
    <w:rsid w:val="003C79EF"/>
    <w:rsid w:val="003C7AC5"/>
    <w:rsid w:val="003D06B5"/>
    <w:rsid w:val="003D0FAC"/>
    <w:rsid w:val="003D24E4"/>
    <w:rsid w:val="003D3562"/>
    <w:rsid w:val="003D35E4"/>
    <w:rsid w:val="003D3921"/>
    <w:rsid w:val="003D427E"/>
    <w:rsid w:val="003D5694"/>
    <w:rsid w:val="003D5D8B"/>
    <w:rsid w:val="003D5F94"/>
    <w:rsid w:val="003D627C"/>
    <w:rsid w:val="003D692F"/>
    <w:rsid w:val="003D6C0E"/>
    <w:rsid w:val="003D77DF"/>
    <w:rsid w:val="003D7BF1"/>
    <w:rsid w:val="003D7CB5"/>
    <w:rsid w:val="003D7FC8"/>
    <w:rsid w:val="003E079B"/>
    <w:rsid w:val="003E104B"/>
    <w:rsid w:val="003E1132"/>
    <w:rsid w:val="003E13BA"/>
    <w:rsid w:val="003E23C3"/>
    <w:rsid w:val="003E2B07"/>
    <w:rsid w:val="003E2CD9"/>
    <w:rsid w:val="003E2F40"/>
    <w:rsid w:val="003E499F"/>
    <w:rsid w:val="003E4CFF"/>
    <w:rsid w:val="003E5280"/>
    <w:rsid w:val="003E61F1"/>
    <w:rsid w:val="003E7138"/>
    <w:rsid w:val="003E7A55"/>
    <w:rsid w:val="003F01B1"/>
    <w:rsid w:val="003F1410"/>
    <w:rsid w:val="003F1823"/>
    <w:rsid w:val="003F18EF"/>
    <w:rsid w:val="003F2A8C"/>
    <w:rsid w:val="003F3000"/>
    <w:rsid w:val="003F336E"/>
    <w:rsid w:val="003F698E"/>
    <w:rsid w:val="003F6A26"/>
    <w:rsid w:val="003F7389"/>
    <w:rsid w:val="00400481"/>
    <w:rsid w:val="00400E6A"/>
    <w:rsid w:val="00402622"/>
    <w:rsid w:val="00402B19"/>
    <w:rsid w:val="00404624"/>
    <w:rsid w:val="00404B70"/>
    <w:rsid w:val="00405CED"/>
    <w:rsid w:val="00405DA3"/>
    <w:rsid w:val="00405ED8"/>
    <w:rsid w:val="004060A3"/>
    <w:rsid w:val="00406610"/>
    <w:rsid w:val="004066C6"/>
    <w:rsid w:val="00406D84"/>
    <w:rsid w:val="00407ECD"/>
    <w:rsid w:val="004103AB"/>
    <w:rsid w:val="00410A29"/>
    <w:rsid w:val="00410BB9"/>
    <w:rsid w:val="00411996"/>
    <w:rsid w:val="00411CDC"/>
    <w:rsid w:val="00412DC6"/>
    <w:rsid w:val="00413830"/>
    <w:rsid w:val="00413CB8"/>
    <w:rsid w:val="00413DB2"/>
    <w:rsid w:val="00413FEB"/>
    <w:rsid w:val="00414A75"/>
    <w:rsid w:val="0041517A"/>
    <w:rsid w:val="00417894"/>
    <w:rsid w:val="00417AE1"/>
    <w:rsid w:val="0042005F"/>
    <w:rsid w:val="004202F8"/>
    <w:rsid w:val="00420A69"/>
    <w:rsid w:val="004210D1"/>
    <w:rsid w:val="00421609"/>
    <w:rsid w:val="00421618"/>
    <w:rsid w:val="00422C17"/>
    <w:rsid w:val="00422E18"/>
    <w:rsid w:val="00425505"/>
    <w:rsid w:val="00425890"/>
    <w:rsid w:val="00425B13"/>
    <w:rsid w:val="0042623C"/>
    <w:rsid w:val="004267EC"/>
    <w:rsid w:val="00426915"/>
    <w:rsid w:val="00426AFE"/>
    <w:rsid w:val="004275E9"/>
    <w:rsid w:val="00427859"/>
    <w:rsid w:val="0042794B"/>
    <w:rsid w:val="00427FCD"/>
    <w:rsid w:val="0043102F"/>
    <w:rsid w:val="00431625"/>
    <w:rsid w:val="004318F8"/>
    <w:rsid w:val="00431BD5"/>
    <w:rsid w:val="00432D73"/>
    <w:rsid w:val="00432D9A"/>
    <w:rsid w:val="00432F85"/>
    <w:rsid w:val="004331B4"/>
    <w:rsid w:val="004338F3"/>
    <w:rsid w:val="004339F6"/>
    <w:rsid w:val="00433B7C"/>
    <w:rsid w:val="00434598"/>
    <w:rsid w:val="0043469A"/>
    <w:rsid w:val="00434883"/>
    <w:rsid w:val="00434B58"/>
    <w:rsid w:val="0043550A"/>
    <w:rsid w:val="00435A74"/>
    <w:rsid w:val="00435C8F"/>
    <w:rsid w:val="00436CD2"/>
    <w:rsid w:val="004374EB"/>
    <w:rsid w:val="00437FAC"/>
    <w:rsid w:val="00440142"/>
    <w:rsid w:val="004408FF"/>
    <w:rsid w:val="00440B29"/>
    <w:rsid w:val="00441522"/>
    <w:rsid w:val="004419A1"/>
    <w:rsid w:val="00441A97"/>
    <w:rsid w:val="00441CBC"/>
    <w:rsid w:val="00441EA6"/>
    <w:rsid w:val="004438E7"/>
    <w:rsid w:val="004439A5"/>
    <w:rsid w:val="00443C70"/>
    <w:rsid w:val="00443ED8"/>
    <w:rsid w:val="004442B5"/>
    <w:rsid w:val="004443B1"/>
    <w:rsid w:val="00444776"/>
    <w:rsid w:val="00445021"/>
    <w:rsid w:val="00445613"/>
    <w:rsid w:val="004465C6"/>
    <w:rsid w:val="00447DCD"/>
    <w:rsid w:val="004502D4"/>
    <w:rsid w:val="00450742"/>
    <w:rsid w:val="0045099D"/>
    <w:rsid w:val="0045181F"/>
    <w:rsid w:val="004525CF"/>
    <w:rsid w:val="00452AF5"/>
    <w:rsid w:val="00453A33"/>
    <w:rsid w:val="0045478F"/>
    <w:rsid w:val="00454AB3"/>
    <w:rsid w:val="00454E8E"/>
    <w:rsid w:val="00454EE0"/>
    <w:rsid w:val="00455615"/>
    <w:rsid w:val="004558A9"/>
    <w:rsid w:val="0045620D"/>
    <w:rsid w:val="004563BF"/>
    <w:rsid w:val="00456A3C"/>
    <w:rsid w:val="004577FB"/>
    <w:rsid w:val="0046137C"/>
    <w:rsid w:val="00461CDA"/>
    <w:rsid w:val="00461D9C"/>
    <w:rsid w:val="00461E1E"/>
    <w:rsid w:val="00462999"/>
    <w:rsid w:val="00462BD9"/>
    <w:rsid w:val="00463340"/>
    <w:rsid w:val="00463788"/>
    <w:rsid w:val="00463F84"/>
    <w:rsid w:val="00464298"/>
    <w:rsid w:val="00464654"/>
    <w:rsid w:val="004650B1"/>
    <w:rsid w:val="00465860"/>
    <w:rsid w:val="004661C7"/>
    <w:rsid w:val="004661E3"/>
    <w:rsid w:val="00466E68"/>
    <w:rsid w:val="00467023"/>
    <w:rsid w:val="004673B9"/>
    <w:rsid w:val="0046758A"/>
    <w:rsid w:val="00471B0F"/>
    <w:rsid w:val="0047223E"/>
    <w:rsid w:val="00472462"/>
    <w:rsid w:val="0047256B"/>
    <w:rsid w:val="00472EA5"/>
    <w:rsid w:val="00473468"/>
    <w:rsid w:val="00474213"/>
    <w:rsid w:val="004742E3"/>
    <w:rsid w:val="004748B0"/>
    <w:rsid w:val="00474F95"/>
    <w:rsid w:val="004752F0"/>
    <w:rsid w:val="00475809"/>
    <w:rsid w:val="00480D01"/>
    <w:rsid w:val="00482D97"/>
    <w:rsid w:val="004841A4"/>
    <w:rsid w:val="004843CF"/>
    <w:rsid w:val="00484890"/>
    <w:rsid w:val="00484D5F"/>
    <w:rsid w:val="004859B1"/>
    <w:rsid w:val="00485C5C"/>
    <w:rsid w:val="00486281"/>
    <w:rsid w:val="00486766"/>
    <w:rsid w:val="00487AA4"/>
    <w:rsid w:val="00487DEE"/>
    <w:rsid w:val="00490A89"/>
    <w:rsid w:val="00492103"/>
    <w:rsid w:val="00492A36"/>
    <w:rsid w:val="00492C5C"/>
    <w:rsid w:val="00493A11"/>
    <w:rsid w:val="004940D8"/>
    <w:rsid w:val="00494697"/>
    <w:rsid w:val="00494E61"/>
    <w:rsid w:val="00495B7E"/>
    <w:rsid w:val="00495CBA"/>
    <w:rsid w:val="00495DBB"/>
    <w:rsid w:val="00496126"/>
    <w:rsid w:val="00496877"/>
    <w:rsid w:val="004A023A"/>
    <w:rsid w:val="004A0562"/>
    <w:rsid w:val="004A142B"/>
    <w:rsid w:val="004A2863"/>
    <w:rsid w:val="004A2FE3"/>
    <w:rsid w:val="004A362C"/>
    <w:rsid w:val="004A67D7"/>
    <w:rsid w:val="004A6A34"/>
    <w:rsid w:val="004A78E9"/>
    <w:rsid w:val="004A7E98"/>
    <w:rsid w:val="004B0197"/>
    <w:rsid w:val="004B07C3"/>
    <w:rsid w:val="004B09C6"/>
    <w:rsid w:val="004B2233"/>
    <w:rsid w:val="004B2F5D"/>
    <w:rsid w:val="004B31F9"/>
    <w:rsid w:val="004B3759"/>
    <w:rsid w:val="004B4033"/>
    <w:rsid w:val="004B486A"/>
    <w:rsid w:val="004B58F5"/>
    <w:rsid w:val="004B64AF"/>
    <w:rsid w:val="004B691A"/>
    <w:rsid w:val="004B787F"/>
    <w:rsid w:val="004B7898"/>
    <w:rsid w:val="004B7CFB"/>
    <w:rsid w:val="004C0025"/>
    <w:rsid w:val="004C096A"/>
    <w:rsid w:val="004C0D82"/>
    <w:rsid w:val="004C15BD"/>
    <w:rsid w:val="004C1798"/>
    <w:rsid w:val="004C36C6"/>
    <w:rsid w:val="004C3EB7"/>
    <w:rsid w:val="004C41CE"/>
    <w:rsid w:val="004C443E"/>
    <w:rsid w:val="004C485E"/>
    <w:rsid w:val="004C5A4B"/>
    <w:rsid w:val="004C5B41"/>
    <w:rsid w:val="004C5B91"/>
    <w:rsid w:val="004C654B"/>
    <w:rsid w:val="004C6AA1"/>
    <w:rsid w:val="004C6D3B"/>
    <w:rsid w:val="004C7285"/>
    <w:rsid w:val="004D12A5"/>
    <w:rsid w:val="004D1C44"/>
    <w:rsid w:val="004D22A8"/>
    <w:rsid w:val="004D26A6"/>
    <w:rsid w:val="004D278C"/>
    <w:rsid w:val="004D286B"/>
    <w:rsid w:val="004D38CE"/>
    <w:rsid w:val="004D3E8B"/>
    <w:rsid w:val="004D52BE"/>
    <w:rsid w:val="004D5F57"/>
    <w:rsid w:val="004D6094"/>
    <w:rsid w:val="004D753B"/>
    <w:rsid w:val="004D7EB9"/>
    <w:rsid w:val="004E130F"/>
    <w:rsid w:val="004E237E"/>
    <w:rsid w:val="004E277C"/>
    <w:rsid w:val="004E27EC"/>
    <w:rsid w:val="004E2F31"/>
    <w:rsid w:val="004E3AEB"/>
    <w:rsid w:val="004E3BE8"/>
    <w:rsid w:val="004E4538"/>
    <w:rsid w:val="004E5730"/>
    <w:rsid w:val="004E66C9"/>
    <w:rsid w:val="004E7146"/>
    <w:rsid w:val="004E7463"/>
    <w:rsid w:val="004E77B6"/>
    <w:rsid w:val="004E7C0A"/>
    <w:rsid w:val="004F087B"/>
    <w:rsid w:val="004F08D6"/>
    <w:rsid w:val="004F1E74"/>
    <w:rsid w:val="004F2FD2"/>
    <w:rsid w:val="004F3524"/>
    <w:rsid w:val="004F36AB"/>
    <w:rsid w:val="004F47A8"/>
    <w:rsid w:val="004F50BC"/>
    <w:rsid w:val="004F521E"/>
    <w:rsid w:val="004F5278"/>
    <w:rsid w:val="004F5630"/>
    <w:rsid w:val="004F6792"/>
    <w:rsid w:val="004F726A"/>
    <w:rsid w:val="004F78CE"/>
    <w:rsid w:val="004F7A1A"/>
    <w:rsid w:val="00500066"/>
    <w:rsid w:val="00502165"/>
    <w:rsid w:val="0050287F"/>
    <w:rsid w:val="005038C5"/>
    <w:rsid w:val="00503E88"/>
    <w:rsid w:val="00505669"/>
    <w:rsid w:val="00505C66"/>
    <w:rsid w:val="005076C6"/>
    <w:rsid w:val="00507DB0"/>
    <w:rsid w:val="00510353"/>
    <w:rsid w:val="005104ED"/>
    <w:rsid w:val="005108DF"/>
    <w:rsid w:val="00510ABF"/>
    <w:rsid w:val="0051210D"/>
    <w:rsid w:val="005129D7"/>
    <w:rsid w:val="00512A10"/>
    <w:rsid w:val="00513345"/>
    <w:rsid w:val="0051428E"/>
    <w:rsid w:val="00514AE0"/>
    <w:rsid w:val="00514C00"/>
    <w:rsid w:val="0051575E"/>
    <w:rsid w:val="00516023"/>
    <w:rsid w:val="0051656A"/>
    <w:rsid w:val="005207CB"/>
    <w:rsid w:val="00520A52"/>
    <w:rsid w:val="005212AA"/>
    <w:rsid w:val="005215CB"/>
    <w:rsid w:val="005225BE"/>
    <w:rsid w:val="00522791"/>
    <w:rsid w:val="005233CF"/>
    <w:rsid w:val="00523559"/>
    <w:rsid w:val="005235C5"/>
    <w:rsid w:val="00523C97"/>
    <w:rsid w:val="00524D3B"/>
    <w:rsid w:val="005258B1"/>
    <w:rsid w:val="00527CA1"/>
    <w:rsid w:val="005303F9"/>
    <w:rsid w:val="00530470"/>
    <w:rsid w:val="0053060F"/>
    <w:rsid w:val="00530F7A"/>
    <w:rsid w:val="00531335"/>
    <w:rsid w:val="005317B8"/>
    <w:rsid w:val="00531E60"/>
    <w:rsid w:val="00532530"/>
    <w:rsid w:val="00532678"/>
    <w:rsid w:val="00532796"/>
    <w:rsid w:val="00534A45"/>
    <w:rsid w:val="00534FD6"/>
    <w:rsid w:val="00535A9E"/>
    <w:rsid w:val="00536068"/>
    <w:rsid w:val="00537577"/>
    <w:rsid w:val="005377B7"/>
    <w:rsid w:val="0053797B"/>
    <w:rsid w:val="00537F86"/>
    <w:rsid w:val="00540261"/>
    <w:rsid w:val="005404C5"/>
    <w:rsid w:val="00540D46"/>
    <w:rsid w:val="00541DDC"/>
    <w:rsid w:val="005429E3"/>
    <w:rsid w:val="005435FD"/>
    <w:rsid w:val="00543615"/>
    <w:rsid w:val="00544E08"/>
    <w:rsid w:val="0054574F"/>
    <w:rsid w:val="00545999"/>
    <w:rsid w:val="00545A8F"/>
    <w:rsid w:val="00545F07"/>
    <w:rsid w:val="0054704E"/>
    <w:rsid w:val="0055043D"/>
    <w:rsid w:val="00550692"/>
    <w:rsid w:val="005508DB"/>
    <w:rsid w:val="00550970"/>
    <w:rsid w:val="00550B76"/>
    <w:rsid w:val="00550E03"/>
    <w:rsid w:val="00551123"/>
    <w:rsid w:val="00551492"/>
    <w:rsid w:val="005515D7"/>
    <w:rsid w:val="00551C4B"/>
    <w:rsid w:val="00551D52"/>
    <w:rsid w:val="005525F3"/>
    <w:rsid w:val="00552812"/>
    <w:rsid w:val="00552A81"/>
    <w:rsid w:val="00552C0C"/>
    <w:rsid w:val="005536C6"/>
    <w:rsid w:val="0055399F"/>
    <w:rsid w:val="00553E3D"/>
    <w:rsid w:val="005540F3"/>
    <w:rsid w:val="00554926"/>
    <w:rsid w:val="00555A6F"/>
    <w:rsid w:val="0055661F"/>
    <w:rsid w:val="00556897"/>
    <w:rsid w:val="00556C84"/>
    <w:rsid w:val="0055796F"/>
    <w:rsid w:val="005606F1"/>
    <w:rsid w:val="00560818"/>
    <w:rsid w:val="00560ED1"/>
    <w:rsid w:val="00561B00"/>
    <w:rsid w:val="0056246A"/>
    <w:rsid w:val="00562D9E"/>
    <w:rsid w:val="00562F3F"/>
    <w:rsid w:val="00563A17"/>
    <w:rsid w:val="00563BAB"/>
    <w:rsid w:val="005642BB"/>
    <w:rsid w:val="0056430D"/>
    <w:rsid w:val="00564CDE"/>
    <w:rsid w:val="00565140"/>
    <w:rsid w:val="00565D70"/>
    <w:rsid w:val="00566160"/>
    <w:rsid w:val="00566328"/>
    <w:rsid w:val="005666BC"/>
    <w:rsid w:val="005676C4"/>
    <w:rsid w:val="00567A36"/>
    <w:rsid w:val="00567B6C"/>
    <w:rsid w:val="00567EE7"/>
    <w:rsid w:val="00570A08"/>
    <w:rsid w:val="00570BBF"/>
    <w:rsid w:val="00571094"/>
    <w:rsid w:val="00571437"/>
    <w:rsid w:val="0057183A"/>
    <w:rsid w:val="00571945"/>
    <w:rsid w:val="00572B4B"/>
    <w:rsid w:val="005737B4"/>
    <w:rsid w:val="00573965"/>
    <w:rsid w:val="00573BFD"/>
    <w:rsid w:val="00573C89"/>
    <w:rsid w:val="0057441F"/>
    <w:rsid w:val="00574F36"/>
    <w:rsid w:val="0057534A"/>
    <w:rsid w:val="00575765"/>
    <w:rsid w:val="0058006A"/>
    <w:rsid w:val="005802C4"/>
    <w:rsid w:val="00580BF4"/>
    <w:rsid w:val="00580F44"/>
    <w:rsid w:val="005819DF"/>
    <w:rsid w:val="00581E43"/>
    <w:rsid w:val="00582FC4"/>
    <w:rsid w:val="0058351A"/>
    <w:rsid w:val="00584F84"/>
    <w:rsid w:val="0058593C"/>
    <w:rsid w:val="005859B5"/>
    <w:rsid w:val="00585AB5"/>
    <w:rsid w:val="005868BF"/>
    <w:rsid w:val="00586EF8"/>
    <w:rsid w:val="0058737F"/>
    <w:rsid w:val="005877F8"/>
    <w:rsid w:val="005901DD"/>
    <w:rsid w:val="00591322"/>
    <w:rsid w:val="005917D3"/>
    <w:rsid w:val="005918E8"/>
    <w:rsid w:val="00591B98"/>
    <w:rsid w:val="00591E24"/>
    <w:rsid w:val="00591FD1"/>
    <w:rsid w:val="005922A3"/>
    <w:rsid w:val="00593200"/>
    <w:rsid w:val="005933B6"/>
    <w:rsid w:val="00593906"/>
    <w:rsid w:val="0059434F"/>
    <w:rsid w:val="00594B8F"/>
    <w:rsid w:val="005955F4"/>
    <w:rsid w:val="0059710B"/>
    <w:rsid w:val="005971A5"/>
    <w:rsid w:val="00597424"/>
    <w:rsid w:val="005A04F4"/>
    <w:rsid w:val="005A08C5"/>
    <w:rsid w:val="005A0B88"/>
    <w:rsid w:val="005A0FC3"/>
    <w:rsid w:val="005A1737"/>
    <w:rsid w:val="005A2A58"/>
    <w:rsid w:val="005A2B90"/>
    <w:rsid w:val="005A2FF5"/>
    <w:rsid w:val="005A3047"/>
    <w:rsid w:val="005A30F1"/>
    <w:rsid w:val="005A3131"/>
    <w:rsid w:val="005A31D6"/>
    <w:rsid w:val="005A3A67"/>
    <w:rsid w:val="005A3C1F"/>
    <w:rsid w:val="005A473D"/>
    <w:rsid w:val="005A54E1"/>
    <w:rsid w:val="005A58E1"/>
    <w:rsid w:val="005A5BE6"/>
    <w:rsid w:val="005A686F"/>
    <w:rsid w:val="005A78A8"/>
    <w:rsid w:val="005A7B11"/>
    <w:rsid w:val="005B02C8"/>
    <w:rsid w:val="005B141F"/>
    <w:rsid w:val="005B1743"/>
    <w:rsid w:val="005B186A"/>
    <w:rsid w:val="005B2A43"/>
    <w:rsid w:val="005B3F35"/>
    <w:rsid w:val="005B46F9"/>
    <w:rsid w:val="005B4853"/>
    <w:rsid w:val="005B4FD5"/>
    <w:rsid w:val="005B4FF6"/>
    <w:rsid w:val="005B5057"/>
    <w:rsid w:val="005B51F9"/>
    <w:rsid w:val="005B5FC6"/>
    <w:rsid w:val="005B7D81"/>
    <w:rsid w:val="005C0453"/>
    <w:rsid w:val="005C1667"/>
    <w:rsid w:val="005C223C"/>
    <w:rsid w:val="005C2A65"/>
    <w:rsid w:val="005C3B53"/>
    <w:rsid w:val="005C3E1D"/>
    <w:rsid w:val="005C3EBF"/>
    <w:rsid w:val="005C4288"/>
    <w:rsid w:val="005C43D6"/>
    <w:rsid w:val="005C4A27"/>
    <w:rsid w:val="005C4AA7"/>
    <w:rsid w:val="005C4BDB"/>
    <w:rsid w:val="005C54EC"/>
    <w:rsid w:val="005C5A7A"/>
    <w:rsid w:val="005C65A5"/>
    <w:rsid w:val="005C79E0"/>
    <w:rsid w:val="005D0AFD"/>
    <w:rsid w:val="005D27F2"/>
    <w:rsid w:val="005D2F1F"/>
    <w:rsid w:val="005D304D"/>
    <w:rsid w:val="005D31AB"/>
    <w:rsid w:val="005D3783"/>
    <w:rsid w:val="005D3809"/>
    <w:rsid w:val="005D41F5"/>
    <w:rsid w:val="005D4C08"/>
    <w:rsid w:val="005D59EF"/>
    <w:rsid w:val="005D5A14"/>
    <w:rsid w:val="005D7040"/>
    <w:rsid w:val="005D7CEF"/>
    <w:rsid w:val="005D7E2E"/>
    <w:rsid w:val="005E0319"/>
    <w:rsid w:val="005E0C36"/>
    <w:rsid w:val="005E1353"/>
    <w:rsid w:val="005E1ABD"/>
    <w:rsid w:val="005E1C06"/>
    <w:rsid w:val="005E32F1"/>
    <w:rsid w:val="005E37E2"/>
    <w:rsid w:val="005E3B99"/>
    <w:rsid w:val="005E4D0A"/>
    <w:rsid w:val="005E5036"/>
    <w:rsid w:val="005E50FA"/>
    <w:rsid w:val="005E57C8"/>
    <w:rsid w:val="005E5937"/>
    <w:rsid w:val="005E61B5"/>
    <w:rsid w:val="005E636C"/>
    <w:rsid w:val="005E77EC"/>
    <w:rsid w:val="005F05B6"/>
    <w:rsid w:val="005F1885"/>
    <w:rsid w:val="005F2F25"/>
    <w:rsid w:val="005F3361"/>
    <w:rsid w:val="005F397E"/>
    <w:rsid w:val="005F42ED"/>
    <w:rsid w:val="005F4439"/>
    <w:rsid w:val="005F4C33"/>
    <w:rsid w:val="005F6EEB"/>
    <w:rsid w:val="005F707C"/>
    <w:rsid w:val="005F76A1"/>
    <w:rsid w:val="005F77FD"/>
    <w:rsid w:val="005F79B1"/>
    <w:rsid w:val="005F7C8D"/>
    <w:rsid w:val="0060042C"/>
    <w:rsid w:val="0060404B"/>
    <w:rsid w:val="00604DCF"/>
    <w:rsid w:val="006058AE"/>
    <w:rsid w:val="00606725"/>
    <w:rsid w:val="0060689B"/>
    <w:rsid w:val="00607354"/>
    <w:rsid w:val="006073AC"/>
    <w:rsid w:val="00607BA1"/>
    <w:rsid w:val="00607CCE"/>
    <w:rsid w:val="0061010C"/>
    <w:rsid w:val="00610EC5"/>
    <w:rsid w:val="00611095"/>
    <w:rsid w:val="00611561"/>
    <w:rsid w:val="006115ED"/>
    <w:rsid w:val="00611D3E"/>
    <w:rsid w:val="00612974"/>
    <w:rsid w:val="0061511E"/>
    <w:rsid w:val="00615FE1"/>
    <w:rsid w:val="00616005"/>
    <w:rsid w:val="00616BE1"/>
    <w:rsid w:val="006171F2"/>
    <w:rsid w:val="0061769B"/>
    <w:rsid w:val="00617B4C"/>
    <w:rsid w:val="0062044E"/>
    <w:rsid w:val="006204A3"/>
    <w:rsid w:val="006208FC"/>
    <w:rsid w:val="006225D9"/>
    <w:rsid w:val="00623088"/>
    <w:rsid w:val="00623524"/>
    <w:rsid w:val="00623739"/>
    <w:rsid w:val="00623FFA"/>
    <w:rsid w:val="00624CCB"/>
    <w:rsid w:val="00624DA3"/>
    <w:rsid w:val="0062511A"/>
    <w:rsid w:val="006256B2"/>
    <w:rsid w:val="00625D86"/>
    <w:rsid w:val="0062612A"/>
    <w:rsid w:val="00626988"/>
    <w:rsid w:val="0062699C"/>
    <w:rsid w:val="00626E30"/>
    <w:rsid w:val="00627615"/>
    <w:rsid w:val="006278E0"/>
    <w:rsid w:val="00627B82"/>
    <w:rsid w:val="00630A88"/>
    <w:rsid w:val="00630EA1"/>
    <w:rsid w:val="00631290"/>
    <w:rsid w:val="00631628"/>
    <w:rsid w:val="006320CB"/>
    <w:rsid w:val="006322A6"/>
    <w:rsid w:val="00632470"/>
    <w:rsid w:val="006329B9"/>
    <w:rsid w:val="00632AFC"/>
    <w:rsid w:val="00632CE5"/>
    <w:rsid w:val="006335AA"/>
    <w:rsid w:val="00633942"/>
    <w:rsid w:val="006348DA"/>
    <w:rsid w:val="00634CD6"/>
    <w:rsid w:val="00634E9E"/>
    <w:rsid w:val="00635B90"/>
    <w:rsid w:val="006377D1"/>
    <w:rsid w:val="00637C80"/>
    <w:rsid w:val="00640339"/>
    <w:rsid w:val="006411A5"/>
    <w:rsid w:val="006422D1"/>
    <w:rsid w:val="0064270E"/>
    <w:rsid w:val="00642AEC"/>
    <w:rsid w:val="00645A30"/>
    <w:rsid w:val="00645FB2"/>
    <w:rsid w:val="0064671A"/>
    <w:rsid w:val="00646B13"/>
    <w:rsid w:val="00647A96"/>
    <w:rsid w:val="0065024D"/>
    <w:rsid w:val="0065035C"/>
    <w:rsid w:val="0065073C"/>
    <w:rsid w:val="00652F0A"/>
    <w:rsid w:val="0065326C"/>
    <w:rsid w:val="00653556"/>
    <w:rsid w:val="00653C95"/>
    <w:rsid w:val="00654495"/>
    <w:rsid w:val="00654BCD"/>
    <w:rsid w:val="00654FBC"/>
    <w:rsid w:val="00654FCF"/>
    <w:rsid w:val="006551F0"/>
    <w:rsid w:val="006561E0"/>
    <w:rsid w:val="00656294"/>
    <w:rsid w:val="006563CD"/>
    <w:rsid w:val="006568EC"/>
    <w:rsid w:val="006570AD"/>
    <w:rsid w:val="00657E11"/>
    <w:rsid w:val="00660640"/>
    <w:rsid w:val="006606B7"/>
    <w:rsid w:val="00660D47"/>
    <w:rsid w:val="0066104F"/>
    <w:rsid w:val="00661A49"/>
    <w:rsid w:val="00661EC3"/>
    <w:rsid w:val="00661FD9"/>
    <w:rsid w:val="00662FC8"/>
    <w:rsid w:val="006639D2"/>
    <w:rsid w:val="00664009"/>
    <w:rsid w:val="006643FA"/>
    <w:rsid w:val="00664D09"/>
    <w:rsid w:val="006657CE"/>
    <w:rsid w:val="00670650"/>
    <w:rsid w:val="00670AB2"/>
    <w:rsid w:val="00670BFF"/>
    <w:rsid w:val="00670CC8"/>
    <w:rsid w:val="0067145D"/>
    <w:rsid w:val="00671B76"/>
    <w:rsid w:val="00671BAD"/>
    <w:rsid w:val="00672FCF"/>
    <w:rsid w:val="00673303"/>
    <w:rsid w:val="0067471C"/>
    <w:rsid w:val="00674A33"/>
    <w:rsid w:val="00674DF7"/>
    <w:rsid w:val="006754D0"/>
    <w:rsid w:val="00675C96"/>
    <w:rsid w:val="006764A1"/>
    <w:rsid w:val="006777B0"/>
    <w:rsid w:val="006778F7"/>
    <w:rsid w:val="00677917"/>
    <w:rsid w:val="0067795A"/>
    <w:rsid w:val="0068028B"/>
    <w:rsid w:val="006802D8"/>
    <w:rsid w:val="00680874"/>
    <w:rsid w:val="006812D6"/>
    <w:rsid w:val="00682257"/>
    <w:rsid w:val="00682704"/>
    <w:rsid w:val="00682F96"/>
    <w:rsid w:val="006843E4"/>
    <w:rsid w:val="006844FF"/>
    <w:rsid w:val="00684EAF"/>
    <w:rsid w:val="006867B2"/>
    <w:rsid w:val="00687348"/>
    <w:rsid w:val="00687798"/>
    <w:rsid w:val="00687AA3"/>
    <w:rsid w:val="00687BEF"/>
    <w:rsid w:val="00687ED7"/>
    <w:rsid w:val="00690907"/>
    <w:rsid w:val="00692355"/>
    <w:rsid w:val="006928A7"/>
    <w:rsid w:val="00692FF4"/>
    <w:rsid w:val="006933AB"/>
    <w:rsid w:val="00693B5D"/>
    <w:rsid w:val="00693E1F"/>
    <w:rsid w:val="00694336"/>
    <w:rsid w:val="00694A98"/>
    <w:rsid w:val="00695182"/>
    <w:rsid w:val="006956DB"/>
    <w:rsid w:val="00695B26"/>
    <w:rsid w:val="00695E62"/>
    <w:rsid w:val="00696044"/>
    <w:rsid w:val="006A098A"/>
    <w:rsid w:val="006A0A46"/>
    <w:rsid w:val="006A0FAC"/>
    <w:rsid w:val="006A2304"/>
    <w:rsid w:val="006A2CF2"/>
    <w:rsid w:val="006A449C"/>
    <w:rsid w:val="006A4BA4"/>
    <w:rsid w:val="006A4EC8"/>
    <w:rsid w:val="006A4EE1"/>
    <w:rsid w:val="006A599B"/>
    <w:rsid w:val="006A650D"/>
    <w:rsid w:val="006A6D40"/>
    <w:rsid w:val="006A75D9"/>
    <w:rsid w:val="006A7DC9"/>
    <w:rsid w:val="006B0EAF"/>
    <w:rsid w:val="006B1377"/>
    <w:rsid w:val="006B1B44"/>
    <w:rsid w:val="006B1B64"/>
    <w:rsid w:val="006B1E24"/>
    <w:rsid w:val="006B1F50"/>
    <w:rsid w:val="006B2BA2"/>
    <w:rsid w:val="006B5949"/>
    <w:rsid w:val="006B5DCE"/>
    <w:rsid w:val="006B61CC"/>
    <w:rsid w:val="006B633A"/>
    <w:rsid w:val="006B6C1C"/>
    <w:rsid w:val="006B6FA0"/>
    <w:rsid w:val="006B705D"/>
    <w:rsid w:val="006B79DF"/>
    <w:rsid w:val="006C0AEC"/>
    <w:rsid w:val="006C0D33"/>
    <w:rsid w:val="006C0FA6"/>
    <w:rsid w:val="006C14A8"/>
    <w:rsid w:val="006C1FAC"/>
    <w:rsid w:val="006C348B"/>
    <w:rsid w:val="006C4C60"/>
    <w:rsid w:val="006C4CB0"/>
    <w:rsid w:val="006C5839"/>
    <w:rsid w:val="006C5C0F"/>
    <w:rsid w:val="006C5FAA"/>
    <w:rsid w:val="006C63BD"/>
    <w:rsid w:val="006C72FE"/>
    <w:rsid w:val="006C770D"/>
    <w:rsid w:val="006D267D"/>
    <w:rsid w:val="006D2BDC"/>
    <w:rsid w:val="006D2F9F"/>
    <w:rsid w:val="006D3D16"/>
    <w:rsid w:val="006D4A2F"/>
    <w:rsid w:val="006D4C8C"/>
    <w:rsid w:val="006D4D08"/>
    <w:rsid w:val="006D57CF"/>
    <w:rsid w:val="006D585E"/>
    <w:rsid w:val="006D6545"/>
    <w:rsid w:val="006D6805"/>
    <w:rsid w:val="006D68B9"/>
    <w:rsid w:val="006D6F56"/>
    <w:rsid w:val="006D7E84"/>
    <w:rsid w:val="006E09A9"/>
    <w:rsid w:val="006E1A8E"/>
    <w:rsid w:val="006E27B7"/>
    <w:rsid w:val="006E31B2"/>
    <w:rsid w:val="006E335D"/>
    <w:rsid w:val="006E3733"/>
    <w:rsid w:val="006E4C5B"/>
    <w:rsid w:val="006E5AF1"/>
    <w:rsid w:val="006E5FAC"/>
    <w:rsid w:val="006E5FB1"/>
    <w:rsid w:val="006E672C"/>
    <w:rsid w:val="006E71B4"/>
    <w:rsid w:val="006F0180"/>
    <w:rsid w:val="006F064E"/>
    <w:rsid w:val="006F0D87"/>
    <w:rsid w:val="006F19B5"/>
    <w:rsid w:val="006F1AD4"/>
    <w:rsid w:val="006F1DCB"/>
    <w:rsid w:val="006F2514"/>
    <w:rsid w:val="006F29BA"/>
    <w:rsid w:val="006F2AC1"/>
    <w:rsid w:val="006F2AEB"/>
    <w:rsid w:val="006F2B22"/>
    <w:rsid w:val="006F2DCB"/>
    <w:rsid w:val="006F440A"/>
    <w:rsid w:val="006F4BA1"/>
    <w:rsid w:val="006F6435"/>
    <w:rsid w:val="006F71DC"/>
    <w:rsid w:val="00700AED"/>
    <w:rsid w:val="00700FAB"/>
    <w:rsid w:val="00700FBD"/>
    <w:rsid w:val="00701357"/>
    <w:rsid w:val="007014C1"/>
    <w:rsid w:val="007014D0"/>
    <w:rsid w:val="007015F7"/>
    <w:rsid w:val="00701A83"/>
    <w:rsid w:val="007028F0"/>
    <w:rsid w:val="00702A54"/>
    <w:rsid w:val="007033C6"/>
    <w:rsid w:val="00703D2C"/>
    <w:rsid w:val="007046E9"/>
    <w:rsid w:val="007047A8"/>
    <w:rsid w:val="007049FC"/>
    <w:rsid w:val="00705252"/>
    <w:rsid w:val="00705463"/>
    <w:rsid w:val="00705D6E"/>
    <w:rsid w:val="00706257"/>
    <w:rsid w:val="00706391"/>
    <w:rsid w:val="007066D7"/>
    <w:rsid w:val="00707A02"/>
    <w:rsid w:val="00710395"/>
    <w:rsid w:val="00710D1D"/>
    <w:rsid w:val="00710EF6"/>
    <w:rsid w:val="00711B2C"/>
    <w:rsid w:val="007139F3"/>
    <w:rsid w:val="00715110"/>
    <w:rsid w:val="00715291"/>
    <w:rsid w:val="007159A1"/>
    <w:rsid w:val="00715A95"/>
    <w:rsid w:val="0071715C"/>
    <w:rsid w:val="007172A3"/>
    <w:rsid w:val="007202E6"/>
    <w:rsid w:val="00721369"/>
    <w:rsid w:val="007213C6"/>
    <w:rsid w:val="0072186C"/>
    <w:rsid w:val="00721C57"/>
    <w:rsid w:val="0072229A"/>
    <w:rsid w:val="00722583"/>
    <w:rsid w:val="00722943"/>
    <w:rsid w:val="00722F42"/>
    <w:rsid w:val="007234BC"/>
    <w:rsid w:val="0072361D"/>
    <w:rsid w:val="00723CE5"/>
    <w:rsid w:val="00724048"/>
    <w:rsid w:val="007243B3"/>
    <w:rsid w:val="00724BDF"/>
    <w:rsid w:val="00725C8B"/>
    <w:rsid w:val="00725FFD"/>
    <w:rsid w:val="00726A37"/>
    <w:rsid w:val="00727219"/>
    <w:rsid w:val="00727292"/>
    <w:rsid w:val="00731C91"/>
    <w:rsid w:val="00731CD9"/>
    <w:rsid w:val="0073305A"/>
    <w:rsid w:val="0073383C"/>
    <w:rsid w:val="00733E32"/>
    <w:rsid w:val="0073400C"/>
    <w:rsid w:val="00734420"/>
    <w:rsid w:val="00734438"/>
    <w:rsid w:val="007344E4"/>
    <w:rsid w:val="00735288"/>
    <w:rsid w:val="00736683"/>
    <w:rsid w:val="00736948"/>
    <w:rsid w:val="00736DC6"/>
    <w:rsid w:val="00737DCF"/>
    <w:rsid w:val="00741323"/>
    <w:rsid w:val="007419A1"/>
    <w:rsid w:val="007420B8"/>
    <w:rsid w:val="00742441"/>
    <w:rsid w:val="0074303D"/>
    <w:rsid w:val="00743989"/>
    <w:rsid w:val="00743A46"/>
    <w:rsid w:val="0074486C"/>
    <w:rsid w:val="00745C2B"/>
    <w:rsid w:val="00746D34"/>
    <w:rsid w:val="00746EB4"/>
    <w:rsid w:val="00747503"/>
    <w:rsid w:val="00747509"/>
    <w:rsid w:val="007478E4"/>
    <w:rsid w:val="00750C90"/>
    <w:rsid w:val="00750F9D"/>
    <w:rsid w:val="007514B1"/>
    <w:rsid w:val="007521DE"/>
    <w:rsid w:val="00752343"/>
    <w:rsid w:val="007529ED"/>
    <w:rsid w:val="00752A6F"/>
    <w:rsid w:val="0075441B"/>
    <w:rsid w:val="00755D8C"/>
    <w:rsid w:val="0075663D"/>
    <w:rsid w:val="0075664F"/>
    <w:rsid w:val="0075702C"/>
    <w:rsid w:val="00757361"/>
    <w:rsid w:val="00760129"/>
    <w:rsid w:val="007613C3"/>
    <w:rsid w:val="00761627"/>
    <w:rsid w:val="00761C59"/>
    <w:rsid w:val="00762F64"/>
    <w:rsid w:val="00763967"/>
    <w:rsid w:val="007645E6"/>
    <w:rsid w:val="00764DE0"/>
    <w:rsid w:val="00765AEA"/>
    <w:rsid w:val="00766186"/>
    <w:rsid w:val="00767AE4"/>
    <w:rsid w:val="00767DA2"/>
    <w:rsid w:val="00770BCA"/>
    <w:rsid w:val="007721EB"/>
    <w:rsid w:val="0077270C"/>
    <w:rsid w:val="00772940"/>
    <w:rsid w:val="00772C38"/>
    <w:rsid w:val="00772D31"/>
    <w:rsid w:val="007731F9"/>
    <w:rsid w:val="00773342"/>
    <w:rsid w:val="007734B2"/>
    <w:rsid w:val="0077359E"/>
    <w:rsid w:val="0077395B"/>
    <w:rsid w:val="00773C81"/>
    <w:rsid w:val="00774D7C"/>
    <w:rsid w:val="00775CAE"/>
    <w:rsid w:val="00776225"/>
    <w:rsid w:val="00780F75"/>
    <w:rsid w:val="00782EC5"/>
    <w:rsid w:val="007832B5"/>
    <w:rsid w:val="007832E9"/>
    <w:rsid w:val="0078345D"/>
    <w:rsid w:val="00785332"/>
    <w:rsid w:val="00785913"/>
    <w:rsid w:val="00786520"/>
    <w:rsid w:val="00791A1F"/>
    <w:rsid w:val="00791C48"/>
    <w:rsid w:val="00792011"/>
    <w:rsid w:val="007928D1"/>
    <w:rsid w:val="00793075"/>
    <w:rsid w:val="00794093"/>
    <w:rsid w:val="007945B4"/>
    <w:rsid w:val="007953CF"/>
    <w:rsid w:val="00795CA8"/>
    <w:rsid w:val="00795FC3"/>
    <w:rsid w:val="00796D24"/>
    <w:rsid w:val="007A1AFC"/>
    <w:rsid w:val="007A1B56"/>
    <w:rsid w:val="007A1C10"/>
    <w:rsid w:val="007A2423"/>
    <w:rsid w:val="007A2B32"/>
    <w:rsid w:val="007A34DF"/>
    <w:rsid w:val="007A4315"/>
    <w:rsid w:val="007A588A"/>
    <w:rsid w:val="007A59E0"/>
    <w:rsid w:val="007A5DEE"/>
    <w:rsid w:val="007A6B23"/>
    <w:rsid w:val="007A6E22"/>
    <w:rsid w:val="007A6E58"/>
    <w:rsid w:val="007A6EB4"/>
    <w:rsid w:val="007A7E14"/>
    <w:rsid w:val="007B0DB0"/>
    <w:rsid w:val="007B14F3"/>
    <w:rsid w:val="007B15CB"/>
    <w:rsid w:val="007B17F7"/>
    <w:rsid w:val="007B2ABF"/>
    <w:rsid w:val="007B30C9"/>
    <w:rsid w:val="007B4695"/>
    <w:rsid w:val="007B4862"/>
    <w:rsid w:val="007B4BE4"/>
    <w:rsid w:val="007B54FD"/>
    <w:rsid w:val="007B6575"/>
    <w:rsid w:val="007B719E"/>
    <w:rsid w:val="007B7A90"/>
    <w:rsid w:val="007C2CDB"/>
    <w:rsid w:val="007C32E0"/>
    <w:rsid w:val="007C54A3"/>
    <w:rsid w:val="007C60C1"/>
    <w:rsid w:val="007C76C4"/>
    <w:rsid w:val="007C7FA8"/>
    <w:rsid w:val="007D0B58"/>
    <w:rsid w:val="007D1F80"/>
    <w:rsid w:val="007D1FB0"/>
    <w:rsid w:val="007D2B27"/>
    <w:rsid w:val="007D3717"/>
    <w:rsid w:val="007D3DD0"/>
    <w:rsid w:val="007D4261"/>
    <w:rsid w:val="007D46BA"/>
    <w:rsid w:val="007D5010"/>
    <w:rsid w:val="007D537C"/>
    <w:rsid w:val="007D5D03"/>
    <w:rsid w:val="007D6102"/>
    <w:rsid w:val="007D6BE3"/>
    <w:rsid w:val="007D7AD5"/>
    <w:rsid w:val="007D7CD0"/>
    <w:rsid w:val="007E0ABF"/>
    <w:rsid w:val="007E0DED"/>
    <w:rsid w:val="007E13EB"/>
    <w:rsid w:val="007E195E"/>
    <w:rsid w:val="007E2B7E"/>
    <w:rsid w:val="007E3074"/>
    <w:rsid w:val="007E4A70"/>
    <w:rsid w:val="007E5894"/>
    <w:rsid w:val="007E5A42"/>
    <w:rsid w:val="007E645B"/>
    <w:rsid w:val="007E727A"/>
    <w:rsid w:val="007E7672"/>
    <w:rsid w:val="007F0378"/>
    <w:rsid w:val="007F039D"/>
    <w:rsid w:val="007F1875"/>
    <w:rsid w:val="007F18C4"/>
    <w:rsid w:val="007F3D7D"/>
    <w:rsid w:val="007F3E96"/>
    <w:rsid w:val="007F5CF7"/>
    <w:rsid w:val="007F6C54"/>
    <w:rsid w:val="007F7017"/>
    <w:rsid w:val="007F712D"/>
    <w:rsid w:val="007F7E0E"/>
    <w:rsid w:val="00800195"/>
    <w:rsid w:val="00801A37"/>
    <w:rsid w:val="0080316D"/>
    <w:rsid w:val="008043A3"/>
    <w:rsid w:val="00804F5F"/>
    <w:rsid w:val="00804FAA"/>
    <w:rsid w:val="008058C3"/>
    <w:rsid w:val="00805D62"/>
    <w:rsid w:val="00806A08"/>
    <w:rsid w:val="00806BE7"/>
    <w:rsid w:val="00810754"/>
    <w:rsid w:val="00810B88"/>
    <w:rsid w:val="00810E5C"/>
    <w:rsid w:val="00811EBD"/>
    <w:rsid w:val="00812745"/>
    <w:rsid w:val="008135EC"/>
    <w:rsid w:val="008135F1"/>
    <w:rsid w:val="00814026"/>
    <w:rsid w:val="0081428A"/>
    <w:rsid w:val="0081437F"/>
    <w:rsid w:val="008144C4"/>
    <w:rsid w:val="00815640"/>
    <w:rsid w:val="008161F5"/>
    <w:rsid w:val="008173A7"/>
    <w:rsid w:val="00817B12"/>
    <w:rsid w:val="00817C2C"/>
    <w:rsid w:val="00817D81"/>
    <w:rsid w:val="00820578"/>
    <w:rsid w:val="00820930"/>
    <w:rsid w:val="00820B1F"/>
    <w:rsid w:val="00821169"/>
    <w:rsid w:val="00821A87"/>
    <w:rsid w:val="00821C41"/>
    <w:rsid w:val="00821E1C"/>
    <w:rsid w:val="00821EC4"/>
    <w:rsid w:val="008226B6"/>
    <w:rsid w:val="00823398"/>
    <w:rsid w:val="0082380D"/>
    <w:rsid w:val="00823992"/>
    <w:rsid w:val="00823C50"/>
    <w:rsid w:val="00825C78"/>
    <w:rsid w:val="00826F1F"/>
    <w:rsid w:val="00827065"/>
    <w:rsid w:val="00827EAD"/>
    <w:rsid w:val="0083074A"/>
    <w:rsid w:val="008313DA"/>
    <w:rsid w:val="00831A8B"/>
    <w:rsid w:val="00832E7E"/>
    <w:rsid w:val="00833EB9"/>
    <w:rsid w:val="00834014"/>
    <w:rsid w:val="0083468B"/>
    <w:rsid w:val="008349E6"/>
    <w:rsid w:val="00835224"/>
    <w:rsid w:val="008355E0"/>
    <w:rsid w:val="00836411"/>
    <w:rsid w:val="00836D9B"/>
    <w:rsid w:val="00836DC4"/>
    <w:rsid w:val="00836ED6"/>
    <w:rsid w:val="00837705"/>
    <w:rsid w:val="00840B0A"/>
    <w:rsid w:val="00840B93"/>
    <w:rsid w:val="00840E23"/>
    <w:rsid w:val="00841845"/>
    <w:rsid w:val="008418F3"/>
    <w:rsid w:val="008418F6"/>
    <w:rsid w:val="00841A0A"/>
    <w:rsid w:val="00841F85"/>
    <w:rsid w:val="00842C3C"/>
    <w:rsid w:val="0084302A"/>
    <w:rsid w:val="0084385B"/>
    <w:rsid w:val="00843D9C"/>
    <w:rsid w:val="00845605"/>
    <w:rsid w:val="008466E3"/>
    <w:rsid w:val="008475DC"/>
    <w:rsid w:val="00847752"/>
    <w:rsid w:val="00847ECD"/>
    <w:rsid w:val="00850544"/>
    <w:rsid w:val="00850734"/>
    <w:rsid w:val="00851CDF"/>
    <w:rsid w:val="00851F33"/>
    <w:rsid w:val="00851F89"/>
    <w:rsid w:val="00853A37"/>
    <w:rsid w:val="00853D14"/>
    <w:rsid w:val="00853EB3"/>
    <w:rsid w:val="00854656"/>
    <w:rsid w:val="008546D7"/>
    <w:rsid w:val="00854AAB"/>
    <w:rsid w:val="00854CA5"/>
    <w:rsid w:val="00856017"/>
    <w:rsid w:val="00856280"/>
    <w:rsid w:val="00856574"/>
    <w:rsid w:val="00857551"/>
    <w:rsid w:val="00857BB1"/>
    <w:rsid w:val="00862591"/>
    <w:rsid w:val="00863647"/>
    <w:rsid w:val="00863C8E"/>
    <w:rsid w:val="00863D5B"/>
    <w:rsid w:val="0086411E"/>
    <w:rsid w:val="00864252"/>
    <w:rsid w:val="00864314"/>
    <w:rsid w:val="008649D1"/>
    <w:rsid w:val="00864DDF"/>
    <w:rsid w:val="008660B9"/>
    <w:rsid w:val="00866DA7"/>
    <w:rsid w:val="00866DCB"/>
    <w:rsid w:val="0086754D"/>
    <w:rsid w:val="00867D6E"/>
    <w:rsid w:val="00870FB7"/>
    <w:rsid w:val="008710E9"/>
    <w:rsid w:val="00871774"/>
    <w:rsid w:val="00871CA0"/>
    <w:rsid w:val="008720E5"/>
    <w:rsid w:val="00872E67"/>
    <w:rsid w:val="00874949"/>
    <w:rsid w:val="00881569"/>
    <w:rsid w:val="008819D4"/>
    <w:rsid w:val="00882A65"/>
    <w:rsid w:val="00883BE6"/>
    <w:rsid w:val="008846ED"/>
    <w:rsid w:val="0088470B"/>
    <w:rsid w:val="00884B0B"/>
    <w:rsid w:val="00886123"/>
    <w:rsid w:val="008869C4"/>
    <w:rsid w:val="00886B8B"/>
    <w:rsid w:val="008871CF"/>
    <w:rsid w:val="008878FC"/>
    <w:rsid w:val="00890573"/>
    <w:rsid w:val="00890E92"/>
    <w:rsid w:val="00892132"/>
    <w:rsid w:val="00892470"/>
    <w:rsid w:val="0089388E"/>
    <w:rsid w:val="00893DA9"/>
    <w:rsid w:val="00894478"/>
    <w:rsid w:val="008945F8"/>
    <w:rsid w:val="00896120"/>
    <w:rsid w:val="0089676C"/>
    <w:rsid w:val="00897863"/>
    <w:rsid w:val="00897D64"/>
    <w:rsid w:val="008A2477"/>
    <w:rsid w:val="008A262F"/>
    <w:rsid w:val="008A28A2"/>
    <w:rsid w:val="008A5AB9"/>
    <w:rsid w:val="008A659D"/>
    <w:rsid w:val="008A7463"/>
    <w:rsid w:val="008A748C"/>
    <w:rsid w:val="008A760C"/>
    <w:rsid w:val="008A763D"/>
    <w:rsid w:val="008A7E4D"/>
    <w:rsid w:val="008B0219"/>
    <w:rsid w:val="008B1291"/>
    <w:rsid w:val="008B181D"/>
    <w:rsid w:val="008B19A9"/>
    <w:rsid w:val="008B2A73"/>
    <w:rsid w:val="008B32C3"/>
    <w:rsid w:val="008B4B06"/>
    <w:rsid w:val="008B5338"/>
    <w:rsid w:val="008B5537"/>
    <w:rsid w:val="008B5BEF"/>
    <w:rsid w:val="008B6640"/>
    <w:rsid w:val="008B6803"/>
    <w:rsid w:val="008B6BFF"/>
    <w:rsid w:val="008B7267"/>
    <w:rsid w:val="008B77F9"/>
    <w:rsid w:val="008B7E6B"/>
    <w:rsid w:val="008C0184"/>
    <w:rsid w:val="008C10A9"/>
    <w:rsid w:val="008C35F5"/>
    <w:rsid w:val="008C40DD"/>
    <w:rsid w:val="008C5320"/>
    <w:rsid w:val="008C5715"/>
    <w:rsid w:val="008C5747"/>
    <w:rsid w:val="008C639B"/>
    <w:rsid w:val="008C6D25"/>
    <w:rsid w:val="008C7F15"/>
    <w:rsid w:val="008D001E"/>
    <w:rsid w:val="008D0337"/>
    <w:rsid w:val="008D0BA8"/>
    <w:rsid w:val="008D1856"/>
    <w:rsid w:val="008D277C"/>
    <w:rsid w:val="008D2B91"/>
    <w:rsid w:val="008D36FA"/>
    <w:rsid w:val="008D4549"/>
    <w:rsid w:val="008D45C6"/>
    <w:rsid w:val="008D4870"/>
    <w:rsid w:val="008D4E64"/>
    <w:rsid w:val="008D5C3F"/>
    <w:rsid w:val="008D667E"/>
    <w:rsid w:val="008D6821"/>
    <w:rsid w:val="008D6C84"/>
    <w:rsid w:val="008D76C0"/>
    <w:rsid w:val="008D7D37"/>
    <w:rsid w:val="008D7D6B"/>
    <w:rsid w:val="008D7FC7"/>
    <w:rsid w:val="008E04BD"/>
    <w:rsid w:val="008E09E7"/>
    <w:rsid w:val="008E0B9D"/>
    <w:rsid w:val="008E0CB3"/>
    <w:rsid w:val="008E0D3F"/>
    <w:rsid w:val="008E1610"/>
    <w:rsid w:val="008E271A"/>
    <w:rsid w:val="008E28DD"/>
    <w:rsid w:val="008E32E0"/>
    <w:rsid w:val="008E3A6F"/>
    <w:rsid w:val="008E3AFB"/>
    <w:rsid w:val="008E3E38"/>
    <w:rsid w:val="008E3FDF"/>
    <w:rsid w:val="008E4839"/>
    <w:rsid w:val="008E490E"/>
    <w:rsid w:val="008E7B9F"/>
    <w:rsid w:val="008F0684"/>
    <w:rsid w:val="008F0BD1"/>
    <w:rsid w:val="008F0BD8"/>
    <w:rsid w:val="008F2568"/>
    <w:rsid w:val="008F3745"/>
    <w:rsid w:val="008F3D10"/>
    <w:rsid w:val="008F4913"/>
    <w:rsid w:val="008F4CA7"/>
    <w:rsid w:val="008F589F"/>
    <w:rsid w:val="008F5A62"/>
    <w:rsid w:val="008F601C"/>
    <w:rsid w:val="008F71B0"/>
    <w:rsid w:val="008F7C77"/>
    <w:rsid w:val="00900943"/>
    <w:rsid w:val="00900C82"/>
    <w:rsid w:val="00901E23"/>
    <w:rsid w:val="0090388F"/>
    <w:rsid w:val="00904BBE"/>
    <w:rsid w:val="00904DC5"/>
    <w:rsid w:val="009050AB"/>
    <w:rsid w:val="009066A7"/>
    <w:rsid w:val="00906D53"/>
    <w:rsid w:val="00910B9F"/>
    <w:rsid w:val="00910D53"/>
    <w:rsid w:val="00910E7B"/>
    <w:rsid w:val="00912051"/>
    <w:rsid w:val="00913832"/>
    <w:rsid w:val="00913B00"/>
    <w:rsid w:val="00913CDD"/>
    <w:rsid w:val="00914208"/>
    <w:rsid w:val="00914B8E"/>
    <w:rsid w:val="00914EFB"/>
    <w:rsid w:val="00916C78"/>
    <w:rsid w:val="00916D39"/>
    <w:rsid w:val="00917494"/>
    <w:rsid w:val="00920A48"/>
    <w:rsid w:val="00920C37"/>
    <w:rsid w:val="00921F68"/>
    <w:rsid w:val="00923766"/>
    <w:rsid w:val="009237D0"/>
    <w:rsid w:val="00923A3D"/>
    <w:rsid w:val="00924020"/>
    <w:rsid w:val="009246A9"/>
    <w:rsid w:val="00924DC1"/>
    <w:rsid w:val="00924E39"/>
    <w:rsid w:val="009254EB"/>
    <w:rsid w:val="00925A38"/>
    <w:rsid w:val="00925B08"/>
    <w:rsid w:val="00930410"/>
    <w:rsid w:val="00930E5C"/>
    <w:rsid w:val="00931070"/>
    <w:rsid w:val="009312DB"/>
    <w:rsid w:val="00931AFB"/>
    <w:rsid w:val="0093236D"/>
    <w:rsid w:val="00932D8E"/>
    <w:rsid w:val="00933B7C"/>
    <w:rsid w:val="0093415D"/>
    <w:rsid w:val="009341A1"/>
    <w:rsid w:val="0093430C"/>
    <w:rsid w:val="0093494E"/>
    <w:rsid w:val="00934DA3"/>
    <w:rsid w:val="00934E0E"/>
    <w:rsid w:val="00935C03"/>
    <w:rsid w:val="0093626C"/>
    <w:rsid w:val="009369B6"/>
    <w:rsid w:val="00936C4D"/>
    <w:rsid w:val="009370FD"/>
    <w:rsid w:val="00937720"/>
    <w:rsid w:val="0094039C"/>
    <w:rsid w:val="0094095B"/>
    <w:rsid w:val="0094128F"/>
    <w:rsid w:val="00941AC2"/>
    <w:rsid w:val="00941CDC"/>
    <w:rsid w:val="00941FF1"/>
    <w:rsid w:val="00942484"/>
    <w:rsid w:val="00943372"/>
    <w:rsid w:val="0094355C"/>
    <w:rsid w:val="0094424A"/>
    <w:rsid w:val="00944CC7"/>
    <w:rsid w:val="00946F98"/>
    <w:rsid w:val="0094771A"/>
    <w:rsid w:val="0095000B"/>
    <w:rsid w:val="009506F3"/>
    <w:rsid w:val="00950B08"/>
    <w:rsid w:val="009526DC"/>
    <w:rsid w:val="00953334"/>
    <w:rsid w:val="009537AD"/>
    <w:rsid w:val="009545A8"/>
    <w:rsid w:val="00954AB8"/>
    <w:rsid w:val="00954B1E"/>
    <w:rsid w:val="00954EE9"/>
    <w:rsid w:val="009551F5"/>
    <w:rsid w:val="00955DE9"/>
    <w:rsid w:val="00956F4B"/>
    <w:rsid w:val="009572D5"/>
    <w:rsid w:val="00957BF2"/>
    <w:rsid w:val="00957C6E"/>
    <w:rsid w:val="00957D0C"/>
    <w:rsid w:val="0096038F"/>
    <w:rsid w:val="00960A7B"/>
    <w:rsid w:val="00960BD6"/>
    <w:rsid w:val="00960E93"/>
    <w:rsid w:val="00961D6A"/>
    <w:rsid w:val="00961DDE"/>
    <w:rsid w:val="00962652"/>
    <w:rsid w:val="0096282A"/>
    <w:rsid w:val="009633D2"/>
    <w:rsid w:val="00963731"/>
    <w:rsid w:val="00964C9C"/>
    <w:rsid w:val="00965250"/>
    <w:rsid w:val="009653DD"/>
    <w:rsid w:val="00965792"/>
    <w:rsid w:val="0097098E"/>
    <w:rsid w:val="00970FEC"/>
    <w:rsid w:val="0097140A"/>
    <w:rsid w:val="00971BC1"/>
    <w:rsid w:val="00972617"/>
    <w:rsid w:val="0097318E"/>
    <w:rsid w:val="00973331"/>
    <w:rsid w:val="00973485"/>
    <w:rsid w:val="0097563E"/>
    <w:rsid w:val="00976078"/>
    <w:rsid w:val="00976125"/>
    <w:rsid w:val="009765A3"/>
    <w:rsid w:val="00977FAD"/>
    <w:rsid w:val="009805DB"/>
    <w:rsid w:val="00980AEC"/>
    <w:rsid w:val="009837D4"/>
    <w:rsid w:val="00984A7D"/>
    <w:rsid w:val="00984B9E"/>
    <w:rsid w:val="00985108"/>
    <w:rsid w:val="00986781"/>
    <w:rsid w:val="0098692D"/>
    <w:rsid w:val="0098708A"/>
    <w:rsid w:val="0098762D"/>
    <w:rsid w:val="00987C8D"/>
    <w:rsid w:val="009908F8"/>
    <w:rsid w:val="00990B62"/>
    <w:rsid w:val="00991056"/>
    <w:rsid w:val="00991477"/>
    <w:rsid w:val="009915C1"/>
    <w:rsid w:val="00991B10"/>
    <w:rsid w:val="0099211A"/>
    <w:rsid w:val="00992A60"/>
    <w:rsid w:val="00993001"/>
    <w:rsid w:val="00993A84"/>
    <w:rsid w:val="00993DC9"/>
    <w:rsid w:val="00994339"/>
    <w:rsid w:val="0099453A"/>
    <w:rsid w:val="00994F12"/>
    <w:rsid w:val="009950F1"/>
    <w:rsid w:val="00995887"/>
    <w:rsid w:val="0099636D"/>
    <w:rsid w:val="0099670B"/>
    <w:rsid w:val="00997610"/>
    <w:rsid w:val="009A029B"/>
    <w:rsid w:val="009A11C0"/>
    <w:rsid w:val="009A31B6"/>
    <w:rsid w:val="009A4A95"/>
    <w:rsid w:val="009A4DF0"/>
    <w:rsid w:val="009A5398"/>
    <w:rsid w:val="009A6661"/>
    <w:rsid w:val="009B0CA1"/>
    <w:rsid w:val="009B0DDA"/>
    <w:rsid w:val="009B2138"/>
    <w:rsid w:val="009B254B"/>
    <w:rsid w:val="009B29B7"/>
    <w:rsid w:val="009B29F9"/>
    <w:rsid w:val="009B2E92"/>
    <w:rsid w:val="009B35B4"/>
    <w:rsid w:val="009B367D"/>
    <w:rsid w:val="009B3DF4"/>
    <w:rsid w:val="009B43C5"/>
    <w:rsid w:val="009B49DA"/>
    <w:rsid w:val="009B562F"/>
    <w:rsid w:val="009B56BA"/>
    <w:rsid w:val="009B6926"/>
    <w:rsid w:val="009B6E6B"/>
    <w:rsid w:val="009B73EA"/>
    <w:rsid w:val="009B7423"/>
    <w:rsid w:val="009B778D"/>
    <w:rsid w:val="009B7B42"/>
    <w:rsid w:val="009C1668"/>
    <w:rsid w:val="009C1A89"/>
    <w:rsid w:val="009C1B39"/>
    <w:rsid w:val="009C2FAB"/>
    <w:rsid w:val="009C3350"/>
    <w:rsid w:val="009C379F"/>
    <w:rsid w:val="009C570A"/>
    <w:rsid w:val="009C71E4"/>
    <w:rsid w:val="009C72E6"/>
    <w:rsid w:val="009D09F2"/>
    <w:rsid w:val="009D0DB0"/>
    <w:rsid w:val="009D185E"/>
    <w:rsid w:val="009D228D"/>
    <w:rsid w:val="009D2A95"/>
    <w:rsid w:val="009D4F7D"/>
    <w:rsid w:val="009D6653"/>
    <w:rsid w:val="009D7465"/>
    <w:rsid w:val="009D783C"/>
    <w:rsid w:val="009E1067"/>
    <w:rsid w:val="009E13B1"/>
    <w:rsid w:val="009E1AC3"/>
    <w:rsid w:val="009E263C"/>
    <w:rsid w:val="009E2842"/>
    <w:rsid w:val="009E28FF"/>
    <w:rsid w:val="009E2F43"/>
    <w:rsid w:val="009E2FDB"/>
    <w:rsid w:val="009E340B"/>
    <w:rsid w:val="009E3437"/>
    <w:rsid w:val="009E35A5"/>
    <w:rsid w:val="009E3E1B"/>
    <w:rsid w:val="009E4EAE"/>
    <w:rsid w:val="009E6567"/>
    <w:rsid w:val="009E6865"/>
    <w:rsid w:val="009E6F8B"/>
    <w:rsid w:val="009F0847"/>
    <w:rsid w:val="009F09CB"/>
    <w:rsid w:val="009F0E15"/>
    <w:rsid w:val="009F2084"/>
    <w:rsid w:val="009F25B4"/>
    <w:rsid w:val="009F2FE9"/>
    <w:rsid w:val="009F36FA"/>
    <w:rsid w:val="009F3DBC"/>
    <w:rsid w:val="009F4034"/>
    <w:rsid w:val="009F41E6"/>
    <w:rsid w:val="009F4C1D"/>
    <w:rsid w:val="009F5980"/>
    <w:rsid w:val="009F5A22"/>
    <w:rsid w:val="009F6A28"/>
    <w:rsid w:val="009F72FF"/>
    <w:rsid w:val="009F731B"/>
    <w:rsid w:val="009F7566"/>
    <w:rsid w:val="009F7635"/>
    <w:rsid w:val="009F7713"/>
    <w:rsid w:val="009F77D9"/>
    <w:rsid w:val="00A0031F"/>
    <w:rsid w:val="00A0050C"/>
    <w:rsid w:val="00A00575"/>
    <w:rsid w:val="00A00F0F"/>
    <w:rsid w:val="00A01DB9"/>
    <w:rsid w:val="00A021F4"/>
    <w:rsid w:val="00A0228D"/>
    <w:rsid w:val="00A02679"/>
    <w:rsid w:val="00A03234"/>
    <w:rsid w:val="00A037BC"/>
    <w:rsid w:val="00A0381F"/>
    <w:rsid w:val="00A03A32"/>
    <w:rsid w:val="00A042EA"/>
    <w:rsid w:val="00A056D2"/>
    <w:rsid w:val="00A060B8"/>
    <w:rsid w:val="00A06E63"/>
    <w:rsid w:val="00A103D2"/>
    <w:rsid w:val="00A10406"/>
    <w:rsid w:val="00A117D9"/>
    <w:rsid w:val="00A11942"/>
    <w:rsid w:val="00A11A2C"/>
    <w:rsid w:val="00A120D4"/>
    <w:rsid w:val="00A1339A"/>
    <w:rsid w:val="00A14DA0"/>
    <w:rsid w:val="00A15669"/>
    <w:rsid w:val="00A15917"/>
    <w:rsid w:val="00A16B92"/>
    <w:rsid w:val="00A16BFF"/>
    <w:rsid w:val="00A16D2A"/>
    <w:rsid w:val="00A17D91"/>
    <w:rsid w:val="00A17FBD"/>
    <w:rsid w:val="00A20586"/>
    <w:rsid w:val="00A20695"/>
    <w:rsid w:val="00A20DE3"/>
    <w:rsid w:val="00A21A57"/>
    <w:rsid w:val="00A22AF7"/>
    <w:rsid w:val="00A22D79"/>
    <w:rsid w:val="00A232FA"/>
    <w:rsid w:val="00A237CC"/>
    <w:rsid w:val="00A23D56"/>
    <w:rsid w:val="00A23ED3"/>
    <w:rsid w:val="00A24369"/>
    <w:rsid w:val="00A2480A"/>
    <w:rsid w:val="00A24A85"/>
    <w:rsid w:val="00A25659"/>
    <w:rsid w:val="00A26EE4"/>
    <w:rsid w:val="00A27740"/>
    <w:rsid w:val="00A279B7"/>
    <w:rsid w:val="00A31314"/>
    <w:rsid w:val="00A3191C"/>
    <w:rsid w:val="00A31948"/>
    <w:rsid w:val="00A325E6"/>
    <w:rsid w:val="00A346A6"/>
    <w:rsid w:val="00A34781"/>
    <w:rsid w:val="00A3479B"/>
    <w:rsid w:val="00A34E1A"/>
    <w:rsid w:val="00A35336"/>
    <w:rsid w:val="00A35568"/>
    <w:rsid w:val="00A35978"/>
    <w:rsid w:val="00A36E4F"/>
    <w:rsid w:val="00A37AF2"/>
    <w:rsid w:val="00A37BCD"/>
    <w:rsid w:val="00A40512"/>
    <w:rsid w:val="00A41DA1"/>
    <w:rsid w:val="00A41FA3"/>
    <w:rsid w:val="00A421DF"/>
    <w:rsid w:val="00A4220E"/>
    <w:rsid w:val="00A4241C"/>
    <w:rsid w:val="00A425B3"/>
    <w:rsid w:val="00A42998"/>
    <w:rsid w:val="00A436ED"/>
    <w:rsid w:val="00A43788"/>
    <w:rsid w:val="00A437F7"/>
    <w:rsid w:val="00A45ACB"/>
    <w:rsid w:val="00A45F55"/>
    <w:rsid w:val="00A4693F"/>
    <w:rsid w:val="00A46F4D"/>
    <w:rsid w:val="00A470DF"/>
    <w:rsid w:val="00A474DA"/>
    <w:rsid w:val="00A47C42"/>
    <w:rsid w:val="00A50229"/>
    <w:rsid w:val="00A505CD"/>
    <w:rsid w:val="00A50908"/>
    <w:rsid w:val="00A50E8F"/>
    <w:rsid w:val="00A51FEB"/>
    <w:rsid w:val="00A52319"/>
    <w:rsid w:val="00A52A50"/>
    <w:rsid w:val="00A530DE"/>
    <w:rsid w:val="00A5373E"/>
    <w:rsid w:val="00A55AB9"/>
    <w:rsid w:val="00A55CD0"/>
    <w:rsid w:val="00A55D75"/>
    <w:rsid w:val="00A56014"/>
    <w:rsid w:val="00A56A81"/>
    <w:rsid w:val="00A571B1"/>
    <w:rsid w:val="00A571DA"/>
    <w:rsid w:val="00A576BB"/>
    <w:rsid w:val="00A6033F"/>
    <w:rsid w:val="00A60B74"/>
    <w:rsid w:val="00A60FCE"/>
    <w:rsid w:val="00A615A1"/>
    <w:rsid w:val="00A617C1"/>
    <w:rsid w:val="00A61BE1"/>
    <w:rsid w:val="00A62309"/>
    <w:rsid w:val="00A6538B"/>
    <w:rsid w:val="00A65FBD"/>
    <w:rsid w:val="00A669EE"/>
    <w:rsid w:val="00A66D75"/>
    <w:rsid w:val="00A67071"/>
    <w:rsid w:val="00A67E94"/>
    <w:rsid w:val="00A70351"/>
    <w:rsid w:val="00A710AF"/>
    <w:rsid w:val="00A71628"/>
    <w:rsid w:val="00A71AB6"/>
    <w:rsid w:val="00A71E14"/>
    <w:rsid w:val="00A7264E"/>
    <w:rsid w:val="00A72971"/>
    <w:rsid w:val="00A7320B"/>
    <w:rsid w:val="00A73257"/>
    <w:rsid w:val="00A73B8B"/>
    <w:rsid w:val="00A74562"/>
    <w:rsid w:val="00A74821"/>
    <w:rsid w:val="00A748B3"/>
    <w:rsid w:val="00A74A24"/>
    <w:rsid w:val="00A74A9A"/>
    <w:rsid w:val="00A759A8"/>
    <w:rsid w:val="00A75D97"/>
    <w:rsid w:val="00A76746"/>
    <w:rsid w:val="00A76FB3"/>
    <w:rsid w:val="00A80D39"/>
    <w:rsid w:val="00A8229F"/>
    <w:rsid w:val="00A823DD"/>
    <w:rsid w:val="00A83F41"/>
    <w:rsid w:val="00A842C4"/>
    <w:rsid w:val="00A853EB"/>
    <w:rsid w:val="00A85FC3"/>
    <w:rsid w:val="00A91014"/>
    <w:rsid w:val="00A927BD"/>
    <w:rsid w:val="00A93466"/>
    <w:rsid w:val="00A93EA8"/>
    <w:rsid w:val="00A94373"/>
    <w:rsid w:val="00A9481E"/>
    <w:rsid w:val="00A94BD5"/>
    <w:rsid w:val="00A968B6"/>
    <w:rsid w:val="00A977D2"/>
    <w:rsid w:val="00A97D7D"/>
    <w:rsid w:val="00AA1A3D"/>
    <w:rsid w:val="00AA35A8"/>
    <w:rsid w:val="00AA36A7"/>
    <w:rsid w:val="00AA3E93"/>
    <w:rsid w:val="00AA504B"/>
    <w:rsid w:val="00AA5EF1"/>
    <w:rsid w:val="00AA7AB0"/>
    <w:rsid w:val="00AB09C5"/>
    <w:rsid w:val="00AB1FDD"/>
    <w:rsid w:val="00AB221E"/>
    <w:rsid w:val="00AB237A"/>
    <w:rsid w:val="00AB240E"/>
    <w:rsid w:val="00AB258C"/>
    <w:rsid w:val="00AB3540"/>
    <w:rsid w:val="00AB44C2"/>
    <w:rsid w:val="00AB57CC"/>
    <w:rsid w:val="00AB61C9"/>
    <w:rsid w:val="00AB6288"/>
    <w:rsid w:val="00AB64EF"/>
    <w:rsid w:val="00AB6E22"/>
    <w:rsid w:val="00AB7211"/>
    <w:rsid w:val="00AB7B0B"/>
    <w:rsid w:val="00AC0FDB"/>
    <w:rsid w:val="00AC1331"/>
    <w:rsid w:val="00AC29FD"/>
    <w:rsid w:val="00AC2F51"/>
    <w:rsid w:val="00AC3388"/>
    <w:rsid w:val="00AC37F2"/>
    <w:rsid w:val="00AC3F21"/>
    <w:rsid w:val="00AC4FA8"/>
    <w:rsid w:val="00AC5BFA"/>
    <w:rsid w:val="00AC5C32"/>
    <w:rsid w:val="00AC654A"/>
    <w:rsid w:val="00AC6D2A"/>
    <w:rsid w:val="00AC7055"/>
    <w:rsid w:val="00AC7851"/>
    <w:rsid w:val="00AC7B4D"/>
    <w:rsid w:val="00AC7B7D"/>
    <w:rsid w:val="00AD0A32"/>
    <w:rsid w:val="00AD1D61"/>
    <w:rsid w:val="00AD1F41"/>
    <w:rsid w:val="00AD27C3"/>
    <w:rsid w:val="00AD3735"/>
    <w:rsid w:val="00AD4212"/>
    <w:rsid w:val="00AE0EB1"/>
    <w:rsid w:val="00AE11EF"/>
    <w:rsid w:val="00AE16E7"/>
    <w:rsid w:val="00AE2D33"/>
    <w:rsid w:val="00AE2FFB"/>
    <w:rsid w:val="00AE34A3"/>
    <w:rsid w:val="00AE3D49"/>
    <w:rsid w:val="00AE5CF6"/>
    <w:rsid w:val="00AE683D"/>
    <w:rsid w:val="00AE7310"/>
    <w:rsid w:val="00AE73E3"/>
    <w:rsid w:val="00AE79CB"/>
    <w:rsid w:val="00AE7E4B"/>
    <w:rsid w:val="00AE7EE0"/>
    <w:rsid w:val="00AF00AB"/>
    <w:rsid w:val="00AF01A9"/>
    <w:rsid w:val="00AF0489"/>
    <w:rsid w:val="00AF0D76"/>
    <w:rsid w:val="00AF0F68"/>
    <w:rsid w:val="00AF13D5"/>
    <w:rsid w:val="00AF15C9"/>
    <w:rsid w:val="00AF485B"/>
    <w:rsid w:val="00AF4C11"/>
    <w:rsid w:val="00AF4C38"/>
    <w:rsid w:val="00AF5418"/>
    <w:rsid w:val="00AF573C"/>
    <w:rsid w:val="00AF6057"/>
    <w:rsid w:val="00AF63CD"/>
    <w:rsid w:val="00AF65EB"/>
    <w:rsid w:val="00AF6F18"/>
    <w:rsid w:val="00AF7E4D"/>
    <w:rsid w:val="00B000DB"/>
    <w:rsid w:val="00B000E1"/>
    <w:rsid w:val="00B009C7"/>
    <w:rsid w:val="00B0138C"/>
    <w:rsid w:val="00B01966"/>
    <w:rsid w:val="00B02217"/>
    <w:rsid w:val="00B02301"/>
    <w:rsid w:val="00B0261C"/>
    <w:rsid w:val="00B0564A"/>
    <w:rsid w:val="00B0593C"/>
    <w:rsid w:val="00B061EE"/>
    <w:rsid w:val="00B07A4D"/>
    <w:rsid w:val="00B07C22"/>
    <w:rsid w:val="00B10197"/>
    <w:rsid w:val="00B10C31"/>
    <w:rsid w:val="00B11341"/>
    <w:rsid w:val="00B11720"/>
    <w:rsid w:val="00B11819"/>
    <w:rsid w:val="00B11FBD"/>
    <w:rsid w:val="00B12878"/>
    <w:rsid w:val="00B13884"/>
    <w:rsid w:val="00B13AF6"/>
    <w:rsid w:val="00B14AAA"/>
    <w:rsid w:val="00B14B74"/>
    <w:rsid w:val="00B15B75"/>
    <w:rsid w:val="00B16689"/>
    <w:rsid w:val="00B16AC1"/>
    <w:rsid w:val="00B1713A"/>
    <w:rsid w:val="00B171F3"/>
    <w:rsid w:val="00B17249"/>
    <w:rsid w:val="00B17538"/>
    <w:rsid w:val="00B203E4"/>
    <w:rsid w:val="00B203F5"/>
    <w:rsid w:val="00B222E7"/>
    <w:rsid w:val="00B22702"/>
    <w:rsid w:val="00B22BDB"/>
    <w:rsid w:val="00B23FCB"/>
    <w:rsid w:val="00B242A9"/>
    <w:rsid w:val="00B25777"/>
    <w:rsid w:val="00B25883"/>
    <w:rsid w:val="00B25F25"/>
    <w:rsid w:val="00B26002"/>
    <w:rsid w:val="00B263D3"/>
    <w:rsid w:val="00B26B32"/>
    <w:rsid w:val="00B271A7"/>
    <w:rsid w:val="00B27965"/>
    <w:rsid w:val="00B3048E"/>
    <w:rsid w:val="00B309D6"/>
    <w:rsid w:val="00B30BC8"/>
    <w:rsid w:val="00B30F71"/>
    <w:rsid w:val="00B31091"/>
    <w:rsid w:val="00B32086"/>
    <w:rsid w:val="00B32262"/>
    <w:rsid w:val="00B3361B"/>
    <w:rsid w:val="00B33D1A"/>
    <w:rsid w:val="00B34764"/>
    <w:rsid w:val="00B34D43"/>
    <w:rsid w:val="00B34DDD"/>
    <w:rsid w:val="00B351E2"/>
    <w:rsid w:val="00B35B9E"/>
    <w:rsid w:val="00B36087"/>
    <w:rsid w:val="00B361F0"/>
    <w:rsid w:val="00B365DF"/>
    <w:rsid w:val="00B36B09"/>
    <w:rsid w:val="00B36EBB"/>
    <w:rsid w:val="00B37290"/>
    <w:rsid w:val="00B37847"/>
    <w:rsid w:val="00B4056E"/>
    <w:rsid w:val="00B40AD8"/>
    <w:rsid w:val="00B41891"/>
    <w:rsid w:val="00B422BD"/>
    <w:rsid w:val="00B43A57"/>
    <w:rsid w:val="00B443CA"/>
    <w:rsid w:val="00B44D1D"/>
    <w:rsid w:val="00B456BC"/>
    <w:rsid w:val="00B46353"/>
    <w:rsid w:val="00B5076D"/>
    <w:rsid w:val="00B50BA8"/>
    <w:rsid w:val="00B50E23"/>
    <w:rsid w:val="00B5117D"/>
    <w:rsid w:val="00B51EA6"/>
    <w:rsid w:val="00B538D3"/>
    <w:rsid w:val="00B5530F"/>
    <w:rsid w:val="00B554DD"/>
    <w:rsid w:val="00B56214"/>
    <w:rsid w:val="00B56C8F"/>
    <w:rsid w:val="00B57484"/>
    <w:rsid w:val="00B60460"/>
    <w:rsid w:val="00B6108F"/>
    <w:rsid w:val="00B615BB"/>
    <w:rsid w:val="00B62336"/>
    <w:rsid w:val="00B628D5"/>
    <w:rsid w:val="00B62AF4"/>
    <w:rsid w:val="00B63B06"/>
    <w:rsid w:val="00B64077"/>
    <w:rsid w:val="00B6429A"/>
    <w:rsid w:val="00B6448C"/>
    <w:rsid w:val="00B6487F"/>
    <w:rsid w:val="00B64CB4"/>
    <w:rsid w:val="00B6519A"/>
    <w:rsid w:val="00B6620B"/>
    <w:rsid w:val="00B6651B"/>
    <w:rsid w:val="00B66B44"/>
    <w:rsid w:val="00B673A8"/>
    <w:rsid w:val="00B67504"/>
    <w:rsid w:val="00B71FF2"/>
    <w:rsid w:val="00B725A4"/>
    <w:rsid w:val="00B72E7C"/>
    <w:rsid w:val="00B72F32"/>
    <w:rsid w:val="00B72F78"/>
    <w:rsid w:val="00B731F2"/>
    <w:rsid w:val="00B732AE"/>
    <w:rsid w:val="00B737D1"/>
    <w:rsid w:val="00B7388D"/>
    <w:rsid w:val="00B73A6A"/>
    <w:rsid w:val="00B750B3"/>
    <w:rsid w:val="00B754A6"/>
    <w:rsid w:val="00B75AE0"/>
    <w:rsid w:val="00B7676D"/>
    <w:rsid w:val="00B768AE"/>
    <w:rsid w:val="00B776C2"/>
    <w:rsid w:val="00B808C3"/>
    <w:rsid w:val="00B817E2"/>
    <w:rsid w:val="00B819DF"/>
    <w:rsid w:val="00B82242"/>
    <w:rsid w:val="00B82528"/>
    <w:rsid w:val="00B825B4"/>
    <w:rsid w:val="00B82778"/>
    <w:rsid w:val="00B82D99"/>
    <w:rsid w:val="00B82DE6"/>
    <w:rsid w:val="00B846E4"/>
    <w:rsid w:val="00B847D0"/>
    <w:rsid w:val="00B84948"/>
    <w:rsid w:val="00B8495C"/>
    <w:rsid w:val="00B8516E"/>
    <w:rsid w:val="00B85589"/>
    <w:rsid w:val="00B86612"/>
    <w:rsid w:val="00B86E61"/>
    <w:rsid w:val="00B86F68"/>
    <w:rsid w:val="00B87784"/>
    <w:rsid w:val="00B90362"/>
    <w:rsid w:val="00B91FB3"/>
    <w:rsid w:val="00B921C0"/>
    <w:rsid w:val="00B92250"/>
    <w:rsid w:val="00B933F6"/>
    <w:rsid w:val="00B938FD"/>
    <w:rsid w:val="00B940CE"/>
    <w:rsid w:val="00B9478C"/>
    <w:rsid w:val="00B9532A"/>
    <w:rsid w:val="00B95A8C"/>
    <w:rsid w:val="00B95ED3"/>
    <w:rsid w:val="00BA04A1"/>
    <w:rsid w:val="00BA0F95"/>
    <w:rsid w:val="00BA11EB"/>
    <w:rsid w:val="00BA1A6B"/>
    <w:rsid w:val="00BA1F9B"/>
    <w:rsid w:val="00BA2B06"/>
    <w:rsid w:val="00BA2B83"/>
    <w:rsid w:val="00BA393D"/>
    <w:rsid w:val="00BA39FD"/>
    <w:rsid w:val="00BA4377"/>
    <w:rsid w:val="00BA49D1"/>
    <w:rsid w:val="00BA5A7B"/>
    <w:rsid w:val="00BA5BBC"/>
    <w:rsid w:val="00BA62E3"/>
    <w:rsid w:val="00BA6D2B"/>
    <w:rsid w:val="00BA72AE"/>
    <w:rsid w:val="00BA76C3"/>
    <w:rsid w:val="00BA7E2B"/>
    <w:rsid w:val="00BB0061"/>
    <w:rsid w:val="00BB01CD"/>
    <w:rsid w:val="00BB024E"/>
    <w:rsid w:val="00BB1A30"/>
    <w:rsid w:val="00BB2444"/>
    <w:rsid w:val="00BB31A6"/>
    <w:rsid w:val="00BB333A"/>
    <w:rsid w:val="00BB3847"/>
    <w:rsid w:val="00BB3911"/>
    <w:rsid w:val="00BB3E28"/>
    <w:rsid w:val="00BB42E0"/>
    <w:rsid w:val="00BB447A"/>
    <w:rsid w:val="00BB4DD3"/>
    <w:rsid w:val="00BB51C9"/>
    <w:rsid w:val="00BB570C"/>
    <w:rsid w:val="00BB5947"/>
    <w:rsid w:val="00BB5B56"/>
    <w:rsid w:val="00BB6233"/>
    <w:rsid w:val="00BB66EE"/>
    <w:rsid w:val="00BB6A86"/>
    <w:rsid w:val="00BC1F6F"/>
    <w:rsid w:val="00BC2716"/>
    <w:rsid w:val="00BC2D43"/>
    <w:rsid w:val="00BC2D75"/>
    <w:rsid w:val="00BC2E03"/>
    <w:rsid w:val="00BC38E6"/>
    <w:rsid w:val="00BC3B3D"/>
    <w:rsid w:val="00BC497B"/>
    <w:rsid w:val="00BC50DC"/>
    <w:rsid w:val="00BC5594"/>
    <w:rsid w:val="00BC5B0E"/>
    <w:rsid w:val="00BC5B57"/>
    <w:rsid w:val="00BC5DCC"/>
    <w:rsid w:val="00BC6320"/>
    <w:rsid w:val="00BC66DA"/>
    <w:rsid w:val="00BC70D1"/>
    <w:rsid w:val="00BC71C9"/>
    <w:rsid w:val="00BC7319"/>
    <w:rsid w:val="00BD0255"/>
    <w:rsid w:val="00BD0296"/>
    <w:rsid w:val="00BD19B2"/>
    <w:rsid w:val="00BD3452"/>
    <w:rsid w:val="00BD3764"/>
    <w:rsid w:val="00BD421C"/>
    <w:rsid w:val="00BD5269"/>
    <w:rsid w:val="00BD60A9"/>
    <w:rsid w:val="00BD64DF"/>
    <w:rsid w:val="00BD6570"/>
    <w:rsid w:val="00BD6B1E"/>
    <w:rsid w:val="00BD76F3"/>
    <w:rsid w:val="00BD7BCB"/>
    <w:rsid w:val="00BE046B"/>
    <w:rsid w:val="00BE08DE"/>
    <w:rsid w:val="00BE1167"/>
    <w:rsid w:val="00BE15F0"/>
    <w:rsid w:val="00BE1E7E"/>
    <w:rsid w:val="00BE3122"/>
    <w:rsid w:val="00BE37AD"/>
    <w:rsid w:val="00BE3B4A"/>
    <w:rsid w:val="00BE3FF8"/>
    <w:rsid w:val="00BE4511"/>
    <w:rsid w:val="00BE464F"/>
    <w:rsid w:val="00BE4FAB"/>
    <w:rsid w:val="00BE5283"/>
    <w:rsid w:val="00BE52A8"/>
    <w:rsid w:val="00BE5E8F"/>
    <w:rsid w:val="00BE5EF7"/>
    <w:rsid w:val="00BE5F01"/>
    <w:rsid w:val="00BE624B"/>
    <w:rsid w:val="00BE66C9"/>
    <w:rsid w:val="00BE6B81"/>
    <w:rsid w:val="00BF0C27"/>
    <w:rsid w:val="00BF215D"/>
    <w:rsid w:val="00BF233E"/>
    <w:rsid w:val="00BF2728"/>
    <w:rsid w:val="00BF28D4"/>
    <w:rsid w:val="00BF3274"/>
    <w:rsid w:val="00BF34E1"/>
    <w:rsid w:val="00BF3DE4"/>
    <w:rsid w:val="00BF41BD"/>
    <w:rsid w:val="00BF4C93"/>
    <w:rsid w:val="00BF4EE6"/>
    <w:rsid w:val="00BF4F71"/>
    <w:rsid w:val="00BF5123"/>
    <w:rsid w:val="00BF6DB1"/>
    <w:rsid w:val="00BF7C4E"/>
    <w:rsid w:val="00C01499"/>
    <w:rsid w:val="00C01990"/>
    <w:rsid w:val="00C034C1"/>
    <w:rsid w:val="00C03763"/>
    <w:rsid w:val="00C03F7F"/>
    <w:rsid w:val="00C04D6F"/>
    <w:rsid w:val="00C04FAD"/>
    <w:rsid w:val="00C05259"/>
    <w:rsid w:val="00C062D2"/>
    <w:rsid w:val="00C06567"/>
    <w:rsid w:val="00C06576"/>
    <w:rsid w:val="00C0667B"/>
    <w:rsid w:val="00C07A3B"/>
    <w:rsid w:val="00C1171D"/>
    <w:rsid w:val="00C11753"/>
    <w:rsid w:val="00C11B87"/>
    <w:rsid w:val="00C120E0"/>
    <w:rsid w:val="00C1294C"/>
    <w:rsid w:val="00C129DA"/>
    <w:rsid w:val="00C12C58"/>
    <w:rsid w:val="00C13335"/>
    <w:rsid w:val="00C13E20"/>
    <w:rsid w:val="00C1463E"/>
    <w:rsid w:val="00C172A8"/>
    <w:rsid w:val="00C1746F"/>
    <w:rsid w:val="00C17DA0"/>
    <w:rsid w:val="00C17DEB"/>
    <w:rsid w:val="00C17FFB"/>
    <w:rsid w:val="00C2108D"/>
    <w:rsid w:val="00C21EB8"/>
    <w:rsid w:val="00C21F7A"/>
    <w:rsid w:val="00C22543"/>
    <w:rsid w:val="00C2383C"/>
    <w:rsid w:val="00C23A62"/>
    <w:rsid w:val="00C23C69"/>
    <w:rsid w:val="00C23EB9"/>
    <w:rsid w:val="00C24C24"/>
    <w:rsid w:val="00C2594B"/>
    <w:rsid w:val="00C259EA"/>
    <w:rsid w:val="00C264B5"/>
    <w:rsid w:val="00C2781E"/>
    <w:rsid w:val="00C279BC"/>
    <w:rsid w:val="00C27B0B"/>
    <w:rsid w:val="00C3088F"/>
    <w:rsid w:val="00C3185C"/>
    <w:rsid w:val="00C318C7"/>
    <w:rsid w:val="00C31C1E"/>
    <w:rsid w:val="00C31CE5"/>
    <w:rsid w:val="00C3301B"/>
    <w:rsid w:val="00C335C2"/>
    <w:rsid w:val="00C33C78"/>
    <w:rsid w:val="00C3400A"/>
    <w:rsid w:val="00C343D0"/>
    <w:rsid w:val="00C345A7"/>
    <w:rsid w:val="00C3699E"/>
    <w:rsid w:val="00C36FA9"/>
    <w:rsid w:val="00C40445"/>
    <w:rsid w:val="00C414BC"/>
    <w:rsid w:val="00C41976"/>
    <w:rsid w:val="00C419D2"/>
    <w:rsid w:val="00C42017"/>
    <w:rsid w:val="00C4274B"/>
    <w:rsid w:val="00C42766"/>
    <w:rsid w:val="00C43C1F"/>
    <w:rsid w:val="00C44156"/>
    <w:rsid w:val="00C44205"/>
    <w:rsid w:val="00C4435F"/>
    <w:rsid w:val="00C4551B"/>
    <w:rsid w:val="00C46C11"/>
    <w:rsid w:val="00C47009"/>
    <w:rsid w:val="00C47F24"/>
    <w:rsid w:val="00C50457"/>
    <w:rsid w:val="00C51545"/>
    <w:rsid w:val="00C516D5"/>
    <w:rsid w:val="00C5173C"/>
    <w:rsid w:val="00C537CB"/>
    <w:rsid w:val="00C54148"/>
    <w:rsid w:val="00C544DA"/>
    <w:rsid w:val="00C54947"/>
    <w:rsid w:val="00C553C9"/>
    <w:rsid w:val="00C55654"/>
    <w:rsid w:val="00C559FB"/>
    <w:rsid w:val="00C55E35"/>
    <w:rsid w:val="00C561BA"/>
    <w:rsid w:val="00C5690B"/>
    <w:rsid w:val="00C56D94"/>
    <w:rsid w:val="00C57273"/>
    <w:rsid w:val="00C578D8"/>
    <w:rsid w:val="00C61B7D"/>
    <w:rsid w:val="00C62150"/>
    <w:rsid w:val="00C628BB"/>
    <w:rsid w:val="00C62BAA"/>
    <w:rsid w:val="00C63199"/>
    <w:rsid w:val="00C63604"/>
    <w:rsid w:val="00C63AED"/>
    <w:rsid w:val="00C6475A"/>
    <w:rsid w:val="00C64A21"/>
    <w:rsid w:val="00C64FA5"/>
    <w:rsid w:val="00C65387"/>
    <w:rsid w:val="00C6540C"/>
    <w:rsid w:val="00C65548"/>
    <w:rsid w:val="00C65584"/>
    <w:rsid w:val="00C65804"/>
    <w:rsid w:val="00C6699A"/>
    <w:rsid w:val="00C66C88"/>
    <w:rsid w:val="00C66D52"/>
    <w:rsid w:val="00C675C5"/>
    <w:rsid w:val="00C676B1"/>
    <w:rsid w:val="00C7012D"/>
    <w:rsid w:val="00C70151"/>
    <w:rsid w:val="00C70806"/>
    <w:rsid w:val="00C70A52"/>
    <w:rsid w:val="00C72EAD"/>
    <w:rsid w:val="00C73477"/>
    <w:rsid w:val="00C73AE2"/>
    <w:rsid w:val="00C73E25"/>
    <w:rsid w:val="00C73FD8"/>
    <w:rsid w:val="00C7485C"/>
    <w:rsid w:val="00C76299"/>
    <w:rsid w:val="00C765E8"/>
    <w:rsid w:val="00C76631"/>
    <w:rsid w:val="00C7696A"/>
    <w:rsid w:val="00C76AB6"/>
    <w:rsid w:val="00C77258"/>
    <w:rsid w:val="00C772CC"/>
    <w:rsid w:val="00C8045C"/>
    <w:rsid w:val="00C804DC"/>
    <w:rsid w:val="00C8132B"/>
    <w:rsid w:val="00C819CA"/>
    <w:rsid w:val="00C82435"/>
    <w:rsid w:val="00C82B78"/>
    <w:rsid w:val="00C82C27"/>
    <w:rsid w:val="00C82EAF"/>
    <w:rsid w:val="00C831D7"/>
    <w:rsid w:val="00C83DCB"/>
    <w:rsid w:val="00C84080"/>
    <w:rsid w:val="00C8452E"/>
    <w:rsid w:val="00C84D29"/>
    <w:rsid w:val="00C854AC"/>
    <w:rsid w:val="00C86C64"/>
    <w:rsid w:val="00C879F7"/>
    <w:rsid w:val="00C87EC8"/>
    <w:rsid w:val="00C90BB4"/>
    <w:rsid w:val="00C91164"/>
    <w:rsid w:val="00C914EF"/>
    <w:rsid w:val="00C9291E"/>
    <w:rsid w:val="00C9375E"/>
    <w:rsid w:val="00C93CCF"/>
    <w:rsid w:val="00C943DD"/>
    <w:rsid w:val="00C944C2"/>
    <w:rsid w:val="00C94F38"/>
    <w:rsid w:val="00C958B7"/>
    <w:rsid w:val="00C9595B"/>
    <w:rsid w:val="00C97C52"/>
    <w:rsid w:val="00C97D7B"/>
    <w:rsid w:val="00C97DF9"/>
    <w:rsid w:val="00C97E8C"/>
    <w:rsid w:val="00CA01E3"/>
    <w:rsid w:val="00CA02B0"/>
    <w:rsid w:val="00CA1145"/>
    <w:rsid w:val="00CA235E"/>
    <w:rsid w:val="00CA2DCF"/>
    <w:rsid w:val="00CA2DD6"/>
    <w:rsid w:val="00CA357E"/>
    <w:rsid w:val="00CA3840"/>
    <w:rsid w:val="00CA3C0E"/>
    <w:rsid w:val="00CA4235"/>
    <w:rsid w:val="00CA4544"/>
    <w:rsid w:val="00CA49F5"/>
    <w:rsid w:val="00CA51D5"/>
    <w:rsid w:val="00CA5FF2"/>
    <w:rsid w:val="00CA7468"/>
    <w:rsid w:val="00CA7B9F"/>
    <w:rsid w:val="00CA7E21"/>
    <w:rsid w:val="00CB0310"/>
    <w:rsid w:val="00CB0A82"/>
    <w:rsid w:val="00CB10A2"/>
    <w:rsid w:val="00CB130E"/>
    <w:rsid w:val="00CB137D"/>
    <w:rsid w:val="00CB1E55"/>
    <w:rsid w:val="00CB237E"/>
    <w:rsid w:val="00CB2E61"/>
    <w:rsid w:val="00CB4C4E"/>
    <w:rsid w:val="00CB4D1B"/>
    <w:rsid w:val="00CB4DFA"/>
    <w:rsid w:val="00CB6D9D"/>
    <w:rsid w:val="00CB7F4B"/>
    <w:rsid w:val="00CC017A"/>
    <w:rsid w:val="00CC03D8"/>
    <w:rsid w:val="00CC1B74"/>
    <w:rsid w:val="00CC2B87"/>
    <w:rsid w:val="00CC2E11"/>
    <w:rsid w:val="00CC489E"/>
    <w:rsid w:val="00CC505B"/>
    <w:rsid w:val="00CC549E"/>
    <w:rsid w:val="00CC5894"/>
    <w:rsid w:val="00CC7CBF"/>
    <w:rsid w:val="00CD0D67"/>
    <w:rsid w:val="00CD115A"/>
    <w:rsid w:val="00CD193E"/>
    <w:rsid w:val="00CD20B0"/>
    <w:rsid w:val="00CD2481"/>
    <w:rsid w:val="00CD28AE"/>
    <w:rsid w:val="00CD3104"/>
    <w:rsid w:val="00CD3509"/>
    <w:rsid w:val="00CD4255"/>
    <w:rsid w:val="00CD42D2"/>
    <w:rsid w:val="00CD44EE"/>
    <w:rsid w:val="00CD5399"/>
    <w:rsid w:val="00CD54B3"/>
    <w:rsid w:val="00CD664D"/>
    <w:rsid w:val="00CD6843"/>
    <w:rsid w:val="00CD6DA4"/>
    <w:rsid w:val="00CD72FD"/>
    <w:rsid w:val="00CD750A"/>
    <w:rsid w:val="00CE0355"/>
    <w:rsid w:val="00CE14F2"/>
    <w:rsid w:val="00CE1897"/>
    <w:rsid w:val="00CE197C"/>
    <w:rsid w:val="00CE2660"/>
    <w:rsid w:val="00CE2CF6"/>
    <w:rsid w:val="00CE398C"/>
    <w:rsid w:val="00CE408F"/>
    <w:rsid w:val="00CE4251"/>
    <w:rsid w:val="00CE4395"/>
    <w:rsid w:val="00CE46F7"/>
    <w:rsid w:val="00CE4C27"/>
    <w:rsid w:val="00CE6B17"/>
    <w:rsid w:val="00CE7F5D"/>
    <w:rsid w:val="00CF02D4"/>
    <w:rsid w:val="00CF0BA9"/>
    <w:rsid w:val="00CF1278"/>
    <w:rsid w:val="00CF1D3D"/>
    <w:rsid w:val="00CF218B"/>
    <w:rsid w:val="00CF256A"/>
    <w:rsid w:val="00CF2681"/>
    <w:rsid w:val="00CF345B"/>
    <w:rsid w:val="00CF34E6"/>
    <w:rsid w:val="00CF35B1"/>
    <w:rsid w:val="00CF37E7"/>
    <w:rsid w:val="00CF4D5E"/>
    <w:rsid w:val="00CF508A"/>
    <w:rsid w:val="00CF531B"/>
    <w:rsid w:val="00CF5CD6"/>
    <w:rsid w:val="00CF5F6C"/>
    <w:rsid w:val="00CF6355"/>
    <w:rsid w:val="00CF6C82"/>
    <w:rsid w:val="00CF733D"/>
    <w:rsid w:val="00D002D6"/>
    <w:rsid w:val="00D005C7"/>
    <w:rsid w:val="00D011A8"/>
    <w:rsid w:val="00D0133B"/>
    <w:rsid w:val="00D017A6"/>
    <w:rsid w:val="00D01A79"/>
    <w:rsid w:val="00D01BE9"/>
    <w:rsid w:val="00D01E1C"/>
    <w:rsid w:val="00D01F53"/>
    <w:rsid w:val="00D02B80"/>
    <w:rsid w:val="00D037C4"/>
    <w:rsid w:val="00D039F7"/>
    <w:rsid w:val="00D0443D"/>
    <w:rsid w:val="00D045DB"/>
    <w:rsid w:val="00D05DA0"/>
    <w:rsid w:val="00D05EC7"/>
    <w:rsid w:val="00D06DCB"/>
    <w:rsid w:val="00D07C7B"/>
    <w:rsid w:val="00D107FD"/>
    <w:rsid w:val="00D11E92"/>
    <w:rsid w:val="00D125B6"/>
    <w:rsid w:val="00D13E39"/>
    <w:rsid w:val="00D144EF"/>
    <w:rsid w:val="00D1451E"/>
    <w:rsid w:val="00D145F5"/>
    <w:rsid w:val="00D154DC"/>
    <w:rsid w:val="00D1570E"/>
    <w:rsid w:val="00D157DF"/>
    <w:rsid w:val="00D16305"/>
    <w:rsid w:val="00D163AC"/>
    <w:rsid w:val="00D1728A"/>
    <w:rsid w:val="00D1739C"/>
    <w:rsid w:val="00D1785C"/>
    <w:rsid w:val="00D21BCE"/>
    <w:rsid w:val="00D220E4"/>
    <w:rsid w:val="00D2231A"/>
    <w:rsid w:val="00D226EB"/>
    <w:rsid w:val="00D23B07"/>
    <w:rsid w:val="00D252C3"/>
    <w:rsid w:val="00D2595E"/>
    <w:rsid w:val="00D260E4"/>
    <w:rsid w:val="00D26741"/>
    <w:rsid w:val="00D269E2"/>
    <w:rsid w:val="00D27094"/>
    <w:rsid w:val="00D2710E"/>
    <w:rsid w:val="00D274D2"/>
    <w:rsid w:val="00D27641"/>
    <w:rsid w:val="00D2784D"/>
    <w:rsid w:val="00D27AD7"/>
    <w:rsid w:val="00D307C9"/>
    <w:rsid w:val="00D30DB0"/>
    <w:rsid w:val="00D3111D"/>
    <w:rsid w:val="00D316BB"/>
    <w:rsid w:val="00D32B1B"/>
    <w:rsid w:val="00D331DC"/>
    <w:rsid w:val="00D34048"/>
    <w:rsid w:val="00D340FA"/>
    <w:rsid w:val="00D34DF3"/>
    <w:rsid w:val="00D3609D"/>
    <w:rsid w:val="00D36F8D"/>
    <w:rsid w:val="00D377F8"/>
    <w:rsid w:val="00D37DC9"/>
    <w:rsid w:val="00D37E2C"/>
    <w:rsid w:val="00D40691"/>
    <w:rsid w:val="00D40F41"/>
    <w:rsid w:val="00D413EF"/>
    <w:rsid w:val="00D41A31"/>
    <w:rsid w:val="00D41D18"/>
    <w:rsid w:val="00D42813"/>
    <w:rsid w:val="00D42949"/>
    <w:rsid w:val="00D43488"/>
    <w:rsid w:val="00D43516"/>
    <w:rsid w:val="00D435EC"/>
    <w:rsid w:val="00D44329"/>
    <w:rsid w:val="00D448BD"/>
    <w:rsid w:val="00D44B78"/>
    <w:rsid w:val="00D452B9"/>
    <w:rsid w:val="00D46100"/>
    <w:rsid w:val="00D46178"/>
    <w:rsid w:val="00D50902"/>
    <w:rsid w:val="00D50B07"/>
    <w:rsid w:val="00D5132C"/>
    <w:rsid w:val="00D51AA5"/>
    <w:rsid w:val="00D52568"/>
    <w:rsid w:val="00D52987"/>
    <w:rsid w:val="00D52A0A"/>
    <w:rsid w:val="00D5586B"/>
    <w:rsid w:val="00D55F9B"/>
    <w:rsid w:val="00D56797"/>
    <w:rsid w:val="00D568F1"/>
    <w:rsid w:val="00D56D67"/>
    <w:rsid w:val="00D57A9C"/>
    <w:rsid w:val="00D57ACF"/>
    <w:rsid w:val="00D602FC"/>
    <w:rsid w:val="00D606B3"/>
    <w:rsid w:val="00D60CA1"/>
    <w:rsid w:val="00D620D2"/>
    <w:rsid w:val="00D64C89"/>
    <w:rsid w:val="00D6644F"/>
    <w:rsid w:val="00D664C2"/>
    <w:rsid w:val="00D667AC"/>
    <w:rsid w:val="00D70368"/>
    <w:rsid w:val="00D70732"/>
    <w:rsid w:val="00D707EC"/>
    <w:rsid w:val="00D71721"/>
    <w:rsid w:val="00D7244D"/>
    <w:rsid w:val="00D724C3"/>
    <w:rsid w:val="00D72636"/>
    <w:rsid w:val="00D72DD7"/>
    <w:rsid w:val="00D72EA2"/>
    <w:rsid w:val="00D72F2B"/>
    <w:rsid w:val="00D743BF"/>
    <w:rsid w:val="00D746B6"/>
    <w:rsid w:val="00D74BA9"/>
    <w:rsid w:val="00D75585"/>
    <w:rsid w:val="00D759F2"/>
    <w:rsid w:val="00D75A18"/>
    <w:rsid w:val="00D75E62"/>
    <w:rsid w:val="00D762F4"/>
    <w:rsid w:val="00D7636B"/>
    <w:rsid w:val="00D7695F"/>
    <w:rsid w:val="00D76A0A"/>
    <w:rsid w:val="00D76B4B"/>
    <w:rsid w:val="00D7732A"/>
    <w:rsid w:val="00D7768C"/>
    <w:rsid w:val="00D806E1"/>
    <w:rsid w:val="00D81419"/>
    <w:rsid w:val="00D8307C"/>
    <w:rsid w:val="00D83CD6"/>
    <w:rsid w:val="00D84BD4"/>
    <w:rsid w:val="00D850A5"/>
    <w:rsid w:val="00D85355"/>
    <w:rsid w:val="00D86209"/>
    <w:rsid w:val="00D866B8"/>
    <w:rsid w:val="00D86B70"/>
    <w:rsid w:val="00D86C28"/>
    <w:rsid w:val="00D86FE4"/>
    <w:rsid w:val="00D87800"/>
    <w:rsid w:val="00D908BD"/>
    <w:rsid w:val="00D9097F"/>
    <w:rsid w:val="00D91CF8"/>
    <w:rsid w:val="00D91F3D"/>
    <w:rsid w:val="00D92052"/>
    <w:rsid w:val="00D92932"/>
    <w:rsid w:val="00D929C9"/>
    <w:rsid w:val="00D94F75"/>
    <w:rsid w:val="00D95A18"/>
    <w:rsid w:val="00D961D1"/>
    <w:rsid w:val="00D965E5"/>
    <w:rsid w:val="00D96965"/>
    <w:rsid w:val="00D96B2F"/>
    <w:rsid w:val="00D97E89"/>
    <w:rsid w:val="00DA060C"/>
    <w:rsid w:val="00DA0CC5"/>
    <w:rsid w:val="00DA1160"/>
    <w:rsid w:val="00DA119B"/>
    <w:rsid w:val="00DA12CE"/>
    <w:rsid w:val="00DA1DA7"/>
    <w:rsid w:val="00DA1E65"/>
    <w:rsid w:val="00DA1F04"/>
    <w:rsid w:val="00DA2374"/>
    <w:rsid w:val="00DA2771"/>
    <w:rsid w:val="00DA4F47"/>
    <w:rsid w:val="00DA68B9"/>
    <w:rsid w:val="00DA6EFD"/>
    <w:rsid w:val="00DA7589"/>
    <w:rsid w:val="00DA77BD"/>
    <w:rsid w:val="00DB092E"/>
    <w:rsid w:val="00DB0B3F"/>
    <w:rsid w:val="00DB161C"/>
    <w:rsid w:val="00DB1901"/>
    <w:rsid w:val="00DB1B61"/>
    <w:rsid w:val="00DB2951"/>
    <w:rsid w:val="00DB4336"/>
    <w:rsid w:val="00DB489B"/>
    <w:rsid w:val="00DB4918"/>
    <w:rsid w:val="00DB565C"/>
    <w:rsid w:val="00DB5FAB"/>
    <w:rsid w:val="00DB64A6"/>
    <w:rsid w:val="00DB66FB"/>
    <w:rsid w:val="00DB78B0"/>
    <w:rsid w:val="00DC0701"/>
    <w:rsid w:val="00DC09F2"/>
    <w:rsid w:val="00DC14D4"/>
    <w:rsid w:val="00DC2837"/>
    <w:rsid w:val="00DC46F4"/>
    <w:rsid w:val="00DC5717"/>
    <w:rsid w:val="00DC61C5"/>
    <w:rsid w:val="00DC658C"/>
    <w:rsid w:val="00DC7A96"/>
    <w:rsid w:val="00DD0063"/>
    <w:rsid w:val="00DD047C"/>
    <w:rsid w:val="00DD1145"/>
    <w:rsid w:val="00DD23C3"/>
    <w:rsid w:val="00DD33A6"/>
    <w:rsid w:val="00DD3691"/>
    <w:rsid w:val="00DD3ADD"/>
    <w:rsid w:val="00DD3B4F"/>
    <w:rsid w:val="00DD3F68"/>
    <w:rsid w:val="00DD42F0"/>
    <w:rsid w:val="00DD4492"/>
    <w:rsid w:val="00DD45BF"/>
    <w:rsid w:val="00DD4657"/>
    <w:rsid w:val="00DD54AB"/>
    <w:rsid w:val="00DD570C"/>
    <w:rsid w:val="00DD58E9"/>
    <w:rsid w:val="00DD63FF"/>
    <w:rsid w:val="00DD6F85"/>
    <w:rsid w:val="00DD70E3"/>
    <w:rsid w:val="00DD7248"/>
    <w:rsid w:val="00DD7558"/>
    <w:rsid w:val="00DD7BFF"/>
    <w:rsid w:val="00DD7EAE"/>
    <w:rsid w:val="00DE006A"/>
    <w:rsid w:val="00DE0455"/>
    <w:rsid w:val="00DE15EC"/>
    <w:rsid w:val="00DE26AC"/>
    <w:rsid w:val="00DE2FBE"/>
    <w:rsid w:val="00DE313E"/>
    <w:rsid w:val="00DE3567"/>
    <w:rsid w:val="00DE3B6B"/>
    <w:rsid w:val="00DE4833"/>
    <w:rsid w:val="00DE4EB9"/>
    <w:rsid w:val="00DE5664"/>
    <w:rsid w:val="00DE57D7"/>
    <w:rsid w:val="00DE5899"/>
    <w:rsid w:val="00DE7A8B"/>
    <w:rsid w:val="00DF0961"/>
    <w:rsid w:val="00DF0D8A"/>
    <w:rsid w:val="00DF0EB3"/>
    <w:rsid w:val="00DF1349"/>
    <w:rsid w:val="00DF14A6"/>
    <w:rsid w:val="00DF23CC"/>
    <w:rsid w:val="00DF2F9E"/>
    <w:rsid w:val="00DF327A"/>
    <w:rsid w:val="00DF42FA"/>
    <w:rsid w:val="00DF58EF"/>
    <w:rsid w:val="00DF6302"/>
    <w:rsid w:val="00DF6B9A"/>
    <w:rsid w:val="00DF6CC7"/>
    <w:rsid w:val="00DF6D63"/>
    <w:rsid w:val="00DF70B2"/>
    <w:rsid w:val="00E001F7"/>
    <w:rsid w:val="00E01EB5"/>
    <w:rsid w:val="00E02406"/>
    <w:rsid w:val="00E029F3"/>
    <w:rsid w:val="00E02A54"/>
    <w:rsid w:val="00E032F4"/>
    <w:rsid w:val="00E03E1B"/>
    <w:rsid w:val="00E045B8"/>
    <w:rsid w:val="00E04B10"/>
    <w:rsid w:val="00E04E8A"/>
    <w:rsid w:val="00E05BF4"/>
    <w:rsid w:val="00E05ED4"/>
    <w:rsid w:val="00E060AB"/>
    <w:rsid w:val="00E062C7"/>
    <w:rsid w:val="00E06DAF"/>
    <w:rsid w:val="00E072E2"/>
    <w:rsid w:val="00E1026E"/>
    <w:rsid w:val="00E11791"/>
    <w:rsid w:val="00E1267D"/>
    <w:rsid w:val="00E128A1"/>
    <w:rsid w:val="00E1336F"/>
    <w:rsid w:val="00E1416C"/>
    <w:rsid w:val="00E144F6"/>
    <w:rsid w:val="00E148C0"/>
    <w:rsid w:val="00E1494D"/>
    <w:rsid w:val="00E14FEC"/>
    <w:rsid w:val="00E15F03"/>
    <w:rsid w:val="00E16AA1"/>
    <w:rsid w:val="00E16E25"/>
    <w:rsid w:val="00E1724D"/>
    <w:rsid w:val="00E17478"/>
    <w:rsid w:val="00E17B67"/>
    <w:rsid w:val="00E2004E"/>
    <w:rsid w:val="00E20790"/>
    <w:rsid w:val="00E219F6"/>
    <w:rsid w:val="00E21C7B"/>
    <w:rsid w:val="00E235A9"/>
    <w:rsid w:val="00E23B8E"/>
    <w:rsid w:val="00E23EE1"/>
    <w:rsid w:val="00E2477D"/>
    <w:rsid w:val="00E25F47"/>
    <w:rsid w:val="00E2609A"/>
    <w:rsid w:val="00E26247"/>
    <w:rsid w:val="00E26A55"/>
    <w:rsid w:val="00E276E1"/>
    <w:rsid w:val="00E305A8"/>
    <w:rsid w:val="00E31987"/>
    <w:rsid w:val="00E31CC7"/>
    <w:rsid w:val="00E31D45"/>
    <w:rsid w:val="00E32C01"/>
    <w:rsid w:val="00E342C7"/>
    <w:rsid w:val="00E34733"/>
    <w:rsid w:val="00E35064"/>
    <w:rsid w:val="00E35AD5"/>
    <w:rsid w:val="00E360DE"/>
    <w:rsid w:val="00E37299"/>
    <w:rsid w:val="00E41095"/>
    <w:rsid w:val="00E41101"/>
    <w:rsid w:val="00E41235"/>
    <w:rsid w:val="00E41C55"/>
    <w:rsid w:val="00E42C6E"/>
    <w:rsid w:val="00E42CA1"/>
    <w:rsid w:val="00E433D2"/>
    <w:rsid w:val="00E44151"/>
    <w:rsid w:val="00E449AA"/>
    <w:rsid w:val="00E44BD6"/>
    <w:rsid w:val="00E44FBF"/>
    <w:rsid w:val="00E45CAE"/>
    <w:rsid w:val="00E4777E"/>
    <w:rsid w:val="00E47922"/>
    <w:rsid w:val="00E47AB1"/>
    <w:rsid w:val="00E47F7C"/>
    <w:rsid w:val="00E50C5B"/>
    <w:rsid w:val="00E50FF2"/>
    <w:rsid w:val="00E51627"/>
    <w:rsid w:val="00E51726"/>
    <w:rsid w:val="00E51E8B"/>
    <w:rsid w:val="00E52FDE"/>
    <w:rsid w:val="00E53004"/>
    <w:rsid w:val="00E53D25"/>
    <w:rsid w:val="00E5514B"/>
    <w:rsid w:val="00E553C1"/>
    <w:rsid w:val="00E55A0F"/>
    <w:rsid w:val="00E562CD"/>
    <w:rsid w:val="00E56CDD"/>
    <w:rsid w:val="00E56FDC"/>
    <w:rsid w:val="00E605C0"/>
    <w:rsid w:val="00E61836"/>
    <w:rsid w:val="00E63863"/>
    <w:rsid w:val="00E647C1"/>
    <w:rsid w:val="00E658C9"/>
    <w:rsid w:val="00E66CCF"/>
    <w:rsid w:val="00E67C68"/>
    <w:rsid w:val="00E7004F"/>
    <w:rsid w:val="00E71E09"/>
    <w:rsid w:val="00E72243"/>
    <w:rsid w:val="00E7325C"/>
    <w:rsid w:val="00E732DD"/>
    <w:rsid w:val="00E73999"/>
    <w:rsid w:val="00E7400C"/>
    <w:rsid w:val="00E74506"/>
    <w:rsid w:val="00E749F5"/>
    <w:rsid w:val="00E751D1"/>
    <w:rsid w:val="00E75F6E"/>
    <w:rsid w:val="00E774FE"/>
    <w:rsid w:val="00E77760"/>
    <w:rsid w:val="00E77884"/>
    <w:rsid w:val="00E77B47"/>
    <w:rsid w:val="00E8003A"/>
    <w:rsid w:val="00E800F3"/>
    <w:rsid w:val="00E807F2"/>
    <w:rsid w:val="00E80C9D"/>
    <w:rsid w:val="00E82AF9"/>
    <w:rsid w:val="00E83915"/>
    <w:rsid w:val="00E83A68"/>
    <w:rsid w:val="00E84265"/>
    <w:rsid w:val="00E842FA"/>
    <w:rsid w:val="00E847F5"/>
    <w:rsid w:val="00E85A05"/>
    <w:rsid w:val="00E86120"/>
    <w:rsid w:val="00E862C8"/>
    <w:rsid w:val="00E87CA5"/>
    <w:rsid w:val="00E87F78"/>
    <w:rsid w:val="00E90EBC"/>
    <w:rsid w:val="00E91BA9"/>
    <w:rsid w:val="00E91C49"/>
    <w:rsid w:val="00E91C74"/>
    <w:rsid w:val="00E92233"/>
    <w:rsid w:val="00E9225B"/>
    <w:rsid w:val="00E924B2"/>
    <w:rsid w:val="00E92CB5"/>
    <w:rsid w:val="00E93BFE"/>
    <w:rsid w:val="00E93DC5"/>
    <w:rsid w:val="00E950D1"/>
    <w:rsid w:val="00E954A2"/>
    <w:rsid w:val="00E9587D"/>
    <w:rsid w:val="00E959EF"/>
    <w:rsid w:val="00E962E7"/>
    <w:rsid w:val="00E96ED9"/>
    <w:rsid w:val="00E97092"/>
    <w:rsid w:val="00E979DD"/>
    <w:rsid w:val="00E97E9C"/>
    <w:rsid w:val="00E97EF9"/>
    <w:rsid w:val="00EA05E8"/>
    <w:rsid w:val="00EA10BF"/>
    <w:rsid w:val="00EA3D64"/>
    <w:rsid w:val="00EA49C2"/>
    <w:rsid w:val="00EA508B"/>
    <w:rsid w:val="00EA58BE"/>
    <w:rsid w:val="00EA6657"/>
    <w:rsid w:val="00EA72C0"/>
    <w:rsid w:val="00EA7458"/>
    <w:rsid w:val="00EA7765"/>
    <w:rsid w:val="00EB013D"/>
    <w:rsid w:val="00EB04B3"/>
    <w:rsid w:val="00EB0F75"/>
    <w:rsid w:val="00EB165A"/>
    <w:rsid w:val="00EB1AD6"/>
    <w:rsid w:val="00EB2992"/>
    <w:rsid w:val="00EB322B"/>
    <w:rsid w:val="00EB4491"/>
    <w:rsid w:val="00EB49D3"/>
    <w:rsid w:val="00EB4BB1"/>
    <w:rsid w:val="00EB5A9B"/>
    <w:rsid w:val="00EB5AB9"/>
    <w:rsid w:val="00EB5ABB"/>
    <w:rsid w:val="00EB5ED6"/>
    <w:rsid w:val="00EB6182"/>
    <w:rsid w:val="00EB7867"/>
    <w:rsid w:val="00EC0B31"/>
    <w:rsid w:val="00EC0C0A"/>
    <w:rsid w:val="00EC1BAC"/>
    <w:rsid w:val="00EC230A"/>
    <w:rsid w:val="00EC27E9"/>
    <w:rsid w:val="00EC2A3B"/>
    <w:rsid w:val="00EC3C47"/>
    <w:rsid w:val="00EC4FB8"/>
    <w:rsid w:val="00EC5633"/>
    <w:rsid w:val="00EC5C26"/>
    <w:rsid w:val="00EC60FB"/>
    <w:rsid w:val="00EC6130"/>
    <w:rsid w:val="00EC62AF"/>
    <w:rsid w:val="00EC6346"/>
    <w:rsid w:val="00EC732C"/>
    <w:rsid w:val="00EC7E26"/>
    <w:rsid w:val="00ED03F2"/>
    <w:rsid w:val="00ED0948"/>
    <w:rsid w:val="00ED2992"/>
    <w:rsid w:val="00ED3AAB"/>
    <w:rsid w:val="00ED40E5"/>
    <w:rsid w:val="00ED479D"/>
    <w:rsid w:val="00ED6513"/>
    <w:rsid w:val="00ED6F26"/>
    <w:rsid w:val="00ED73F5"/>
    <w:rsid w:val="00ED759F"/>
    <w:rsid w:val="00ED78D7"/>
    <w:rsid w:val="00ED7CF4"/>
    <w:rsid w:val="00EE054F"/>
    <w:rsid w:val="00EE175C"/>
    <w:rsid w:val="00EE19DB"/>
    <w:rsid w:val="00EE1A5F"/>
    <w:rsid w:val="00EE2218"/>
    <w:rsid w:val="00EE2495"/>
    <w:rsid w:val="00EE257D"/>
    <w:rsid w:val="00EE2DD2"/>
    <w:rsid w:val="00EE35B8"/>
    <w:rsid w:val="00EE40E7"/>
    <w:rsid w:val="00EE445F"/>
    <w:rsid w:val="00EE4977"/>
    <w:rsid w:val="00EE49AB"/>
    <w:rsid w:val="00EE4FCE"/>
    <w:rsid w:val="00EE5DB9"/>
    <w:rsid w:val="00EE6038"/>
    <w:rsid w:val="00EE65D3"/>
    <w:rsid w:val="00EE68A8"/>
    <w:rsid w:val="00EE6EFD"/>
    <w:rsid w:val="00EE72BF"/>
    <w:rsid w:val="00EE79A3"/>
    <w:rsid w:val="00EE7A87"/>
    <w:rsid w:val="00EE7E83"/>
    <w:rsid w:val="00EF07A5"/>
    <w:rsid w:val="00EF15EA"/>
    <w:rsid w:val="00EF2BCF"/>
    <w:rsid w:val="00EF325D"/>
    <w:rsid w:val="00EF32C8"/>
    <w:rsid w:val="00EF334F"/>
    <w:rsid w:val="00EF36A3"/>
    <w:rsid w:val="00EF3813"/>
    <w:rsid w:val="00EF3A05"/>
    <w:rsid w:val="00EF3CBB"/>
    <w:rsid w:val="00EF43C4"/>
    <w:rsid w:val="00EF45A9"/>
    <w:rsid w:val="00EF4D72"/>
    <w:rsid w:val="00EF50D2"/>
    <w:rsid w:val="00EF54DB"/>
    <w:rsid w:val="00EF5FD4"/>
    <w:rsid w:val="00EF6D5A"/>
    <w:rsid w:val="00EF705A"/>
    <w:rsid w:val="00EF7154"/>
    <w:rsid w:val="00EF77C5"/>
    <w:rsid w:val="00F01AD2"/>
    <w:rsid w:val="00F01F25"/>
    <w:rsid w:val="00F0275C"/>
    <w:rsid w:val="00F02A87"/>
    <w:rsid w:val="00F0362D"/>
    <w:rsid w:val="00F050E7"/>
    <w:rsid w:val="00F051FB"/>
    <w:rsid w:val="00F0623E"/>
    <w:rsid w:val="00F06E9B"/>
    <w:rsid w:val="00F070DB"/>
    <w:rsid w:val="00F07128"/>
    <w:rsid w:val="00F077B2"/>
    <w:rsid w:val="00F07B15"/>
    <w:rsid w:val="00F100B2"/>
    <w:rsid w:val="00F101C5"/>
    <w:rsid w:val="00F11CC4"/>
    <w:rsid w:val="00F1256D"/>
    <w:rsid w:val="00F126DB"/>
    <w:rsid w:val="00F12D11"/>
    <w:rsid w:val="00F138A7"/>
    <w:rsid w:val="00F148A4"/>
    <w:rsid w:val="00F14E62"/>
    <w:rsid w:val="00F15902"/>
    <w:rsid w:val="00F15D9E"/>
    <w:rsid w:val="00F1707E"/>
    <w:rsid w:val="00F17366"/>
    <w:rsid w:val="00F17DEC"/>
    <w:rsid w:val="00F203CE"/>
    <w:rsid w:val="00F206E4"/>
    <w:rsid w:val="00F20F8C"/>
    <w:rsid w:val="00F21162"/>
    <w:rsid w:val="00F227DD"/>
    <w:rsid w:val="00F22E7F"/>
    <w:rsid w:val="00F23605"/>
    <w:rsid w:val="00F24A2F"/>
    <w:rsid w:val="00F24AE1"/>
    <w:rsid w:val="00F25C15"/>
    <w:rsid w:val="00F26304"/>
    <w:rsid w:val="00F273D6"/>
    <w:rsid w:val="00F276FF"/>
    <w:rsid w:val="00F30183"/>
    <w:rsid w:val="00F30476"/>
    <w:rsid w:val="00F308BF"/>
    <w:rsid w:val="00F311DB"/>
    <w:rsid w:val="00F313FC"/>
    <w:rsid w:val="00F31648"/>
    <w:rsid w:val="00F3229F"/>
    <w:rsid w:val="00F32558"/>
    <w:rsid w:val="00F33472"/>
    <w:rsid w:val="00F339AD"/>
    <w:rsid w:val="00F33C8E"/>
    <w:rsid w:val="00F34287"/>
    <w:rsid w:val="00F34C2F"/>
    <w:rsid w:val="00F34E55"/>
    <w:rsid w:val="00F34F46"/>
    <w:rsid w:val="00F359B5"/>
    <w:rsid w:val="00F35A33"/>
    <w:rsid w:val="00F364F2"/>
    <w:rsid w:val="00F36EC0"/>
    <w:rsid w:val="00F36FC9"/>
    <w:rsid w:val="00F370B0"/>
    <w:rsid w:val="00F37562"/>
    <w:rsid w:val="00F37935"/>
    <w:rsid w:val="00F40036"/>
    <w:rsid w:val="00F401A8"/>
    <w:rsid w:val="00F403FE"/>
    <w:rsid w:val="00F40505"/>
    <w:rsid w:val="00F431C0"/>
    <w:rsid w:val="00F4320E"/>
    <w:rsid w:val="00F436D3"/>
    <w:rsid w:val="00F4397B"/>
    <w:rsid w:val="00F43C48"/>
    <w:rsid w:val="00F43E84"/>
    <w:rsid w:val="00F444B5"/>
    <w:rsid w:val="00F444E6"/>
    <w:rsid w:val="00F4456D"/>
    <w:rsid w:val="00F44954"/>
    <w:rsid w:val="00F44B1B"/>
    <w:rsid w:val="00F46491"/>
    <w:rsid w:val="00F466B6"/>
    <w:rsid w:val="00F46B8B"/>
    <w:rsid w:val="00F507FA"/>
    <w:rsid w:val="00F51130"/>
    <w:rsid w:val="00F51886"/>
    <w:rsid w:val="00F51C71"/>
    <w:rsid w:val="00F52081"/>
    <w:rsid w:val="00F52218"/>
    <w:rsid w:val="00F5252B"/>
    <w:rsid w:val="00F52F6E"/>
    <w:rsid w:val="00F53213"/>
    <w:rsid w:val="00F5356A"/>
    <w:rsid w:val="00F5359E"/>
    <w:rsid w:val="00F565BD"/>
    <w:rsid w:val="00F56ECA"/>
    <w:rsid w:val="00F56F51"/>
    <w:rsid w:val="00F56F8C"/>
    <w:rsid w:val="00F5745A"/>
    <w:rsid w:val="00F578F9"/>
    <w:rsid w:val="00F57E8C"/>
    <w:rsid w:val="00F60383"/>
    <w:rsid w:val="00F60845"/>
    <w:rsid w:val="00F612E3"/>
    <w:rsid w:val="00F61517"/>
    <w:rsid w:val="00F617A9"/>
    <w:rsid w:val="00F62BAE"/>
    <w:rsid w:val="00F64240"/>
    <w:rsid w:val="00F642AB"/>
    <w:rsid w:val="00F649E1"/>
    <w:rsid w:val="00F64E77"/>
    <w:rsid w:val="00F652F2"/>
    <w:rsid w:val="00F70A88"/>
    <w:rsid w:val="00F71906"/>
    <w:rsid w:val="00F73041"/>
    <w:rsid w:val="00F736DC"/>
    <w:rsid w:val="00F737D4"/>
    <w:rsid w:val="00F74ED9"/>
    <w:rsid w:val="00F74FD2"/>
    <w:rsid w:val="00F756D0"/>
    <w:rsid w:val="00F76313"/>
    <w:rsid w:val="00F763CE"/>
    <w:rsid w:val="00F80CE2"/>
    <w:rsid w:val="00F811E2"/>
    <w:rsid w:val="00F81C99"/>
    <w:rsid w:val="00F821C7"/>
    <w:rsid w:val="00F82EEE"/>
    <w:rsid w:val="00F8325F"/>
    <w:rsid w:val="00F83495"/>
    <w:rsid w:val="00F84143"/>
    <w:rsid w:val="00F84A2E"/>
    <w:rsid w:val="00F86127"/>
    <w:rsid w:val="00F86F80"/>
    <w:rsid w:val="00F87063"/>
    <w:rsid w:val="00F87FCC"/>
    <w:rsid w:val="00F900BF"/>
    <w:rsid w:val="00F9098D"/>
    <w:rsid w:val="00F90A03"/>
    <w:rsid w:val="00F90D66"/>
    <w:rsid w:val="00F918E1"/>
    <w:rsid w:val="00F927DB"/>
    <w:rsid w:val="00F93C85"/>
    <w:rsid w:val="00F93D44"/>
    <w:rsid w:val="00F94AF1"/>
    <w:rsid w:val="00F95289"/>
    <w:rsid w:val="00F968CA"/>
    <w:rsid w:val="00F96AF0"/>
    <w:rsid w:val="00F970E1"/>
    <w:rsid w:val="00FA068B"/>
    <w:rsid w:val="00FA0E64"/>
    <w:rsid w:val="00FA16BA"/>
    <w:rsid w:val="00FA201C"/>
    <w:rsid w:val="00FA4B3F"/>
    <w:rsid w:val="00FA55EF"/>
    <w:rsid w:val="00FA572E"/>
    <w:rsid w:val="00FA5C60"/>
    <w:rsid w:val="00FA5DD4"/>
    <w:rsid w:val="00FA5E72"/>
    <w:rsid w:val="00FA6988"/>
    <w:rsid w:val="00FA6F25"/>
    <w:rsid w:val="00FA74DF"/>
    <w:rsid w:val="00FB1178"/>
    <w:rsid w:val="00FB166C"/>
    <w:rsid w:val="00FB169D"/>
    <w:rsid w:val="00FB20E3"/>
    <w:rsid w:val="00FB330C"/>
    <w:rsid w:val="00FB3839"/>
    <w:rsid w:val="00FB38C8"/>
    <w:rsid w:val="00FB3B05"/>
    <w:rsid w:val="00FB4620"/>
    <w:rsid w:val="00FB4866"/>
    <w:rsid w:val="00FB4F43"/>
    <w:rsid w:val="00FB50B2"/>
    <w:rsid w:val="00FB5829"/>
    <w:rsid w:val="00FB689C"/>
    <w:rsid w:val="00FB6FA7"/>
    <w:rsid w:val="00FB702F"/>
    <w:rsid w:val="00FB7DAA"/>
    <w:rsid w:val="00FC004B"/>
    <w:rsid w:val="00FC0D0E"/>
    <w:rsid w:val="00FC0D49"/>
    <w:rsid w:val="00FC0EB7"/>
    <w:rsid w:val="00FC1B80"/>
    <w:rsid w:val="00FC1FCB"/>
    <w:rsid w:val="00FC27DD"/>
    <w:rsid w:val="00FC2ABF"/>
    <w:rsid w:val="00FC2BA4"/>
    <w:rsid w:val="00FC326F"/>
    <w:rsid w:val="00FC33A6"/>
    <w:rsid w:val="00FC33CE"/>
    <w:rsid w:val="00FC39E2"/>
    <w:rsid w:val="00FC3D71"/>
    <w:rsid w:val="00FC53DC"/>
    <w:rsid w:val="00FC5FD6"/>
    <w:rsid w:val="00FC6F85"/>
    <w:rsid w:val="00FC6FA4"/>
    <w:rsid w:val="00FC75D6"/>
    <w:rsid w:val="00FC7A1D"/>
    <w:rsid w:val="00FC7D91"/>
    <w:rsid w:val="00FC7E4F"/>
    <w:rsid w:val="00FD14EB"/>
    <w:rsid w:val="00FD178B"/>
    <w:rsid w:val="00FD2CE2"/>
    <w:rsid w:val="00FD55D9"/>
    <w:rsid w:val="00FD5D0C"/>
    <w:rsid w:val="00FD72D8"/>
    <w:rsid w:val="00FD73AE"/>
    <w:rsid w:val="00FD7B1A"/>
    <w:rsid w:val="00FD7D7D"/>
    <w:rsid w:val="00FE144E"/>
    <w:rsid w:val="00FE1ED4"/>
    <w:rsid w:val="00FE333E"/>
    <w:rsid w:val="00FE37EE"/>
    <w:rsid w:val="00FE3D83"/>
    <w:rsid w:val="00FE4624"/>
    <w:rsid w:val="00FE5E91"/>
    <w:rsid w:val="00FE6A96"/>
    <w:rsid w:val="00FE7B37"/>
    <w:rsid w:val="00FF0426"/>
    <w:rsid w:val="00FF0DEB"/>
    <w:rsid w:val="00FF11BE"/>
    <w:rsid w:val="00FF171D"/>
    <w:rsid w:val="00FF1C1D"/>
    <w:rsid w:val="00FF20BB"/>
    <w:rsid w:val="00FF29C7"/>
    <w:rsid w:val="00FF5999"/>
    <w:rsid w:val="00FF5B28"/>
    <w:rsid w:val="00FF64DB"/>
    <w:rsid w:val="00FF69FA"/>
    <w:rsid w:val="00FF6EFD"/>
    <w:rsid w:val="00FF7D8A"/>
    <w:rsid w:val="01563B79"/>
    <w:rsid w:val="02CC3DCA"/>
    <w:rsid w:val="02FC4FF1"/>
    <w:rsid w:val="02FE76EF"/>
    <w:rsid w:val="03F033B0"/>
    <w:rsid w:val="042D7FF0"/>
    <w:rsid w:val="057C1D39"/>
    <w:rsid w:val="05891259"/>
    <w:rsid w:val="0654565B"/>
    <w:rsid w:val="08633479"/>
    <w:rsid w:val="0A486315"/>
    <w:rsid w:val="0A63147A"/>
    <w:rsid w:val="0A81331A"/>
    <w:rsid w:val="0ADB2EF0"/>
    <w:rsid w:val="0ADD4CBE"/>
    <w:rsid w:val="0C83309C"/>
    <w:rsid w:val="0CB51572"/>
    <w:rsid w:val="0DE73E36"/>
    <w:rsid w:val="0E4D31E3"/>
    <w:rsid w:val="0E530E38"/>
    <w:rsid w:val="10DC2AA3"/>
    <w:rsid w:val="10FA7C8C"/>
    <w:rsid w:val="12F64B6E"/>
    <w:rsid w:val="130B198F"/>
    <w:rsid w:val="132943A3"/>
    <w:rsid w:val="13B54178"/>
    <w:rsid w:val="13FA68E0"/>
    <w:rsid w:val="15BB1367"/>
    <w:rsid w:val="16A918E4"/>
    <w:rsid w:val="17D966D6"/>
    <w:rsid w:val="19517BDA"/>
    <w:rsid w:val="19E33213"/>
    <w:rsid w:val="1A463A67"/>
    <w:rsid w:val="1B481CDF"/>
    <w:rsid w:val="1BA3160C"/>
    <w:rsid w:val="1BC71D3B"/>
    <w:rsid w:val="1C59115B"/>
    <w:rsid w:val="1D596BD7"/>
    <w:rsid w:val="1E296445"/>
    <w:rsid w:val="1EFD1680"/>
    <w:rsid w:val="1FB23E60"/>
    <w:rsid w:val="1FBA79B4"/>
    <w:rsid w:val="1FC57080"/>
    <w:rsid w:val="212F23EA"/>
    <w:rsid w:val="214467A1"/>
    <w:rsid w:val="216A63C8"/>
    <w:rsid w:val="21CB3FEF"/>
    <w:rsid w:val="21F50ADF"/>
    <w:rsid w:val="226A2E83"/>
    <w:rsid w:val="227640E7"/>
    <w:rsid w:val="227F2CA6"/>
    <w:rsid w:val="22C5630B"/>
    <w:rsid w:val="23567554"/>
    <w:rsid w:val="235F43AF"/>
    <w:rsid w:val="23EC0BA6"/>
    <w:rsid w:val="24701A48"/>
    <w:rsid w:val="25B85291"/>
    <w:rsid w:val="25EC6AF8"/>
    <w:rsid w:val="268B0052"/>
    <w:rsid w:val="26CF6817"/>
    <w:rsid w:val="27743C90"/>
    <w:rsid w:val="279579D9"/>
    <w:rsid w:val="27B358EA"/>
    <w:rsid w:val="28B55739"/>
    <w:rsid w:val="29CA2459"/>
    <w:rsid w:val="2B12477E"/>
    <w:rsid w:val="2B271A58"/>
    <w:rsid w:val="2B6304A7"/>
    <w:rsid w:val="2BAC194A"/>
    <w:rsid w:val="2BCB24AC"/>
    <w:rsid w:val="2C642D3E"/>
    <w:rsid w:val="2CF6734C"/>
    <w:rsid w:val="2D4D284A"/>
    <w:rsid w:val="2D663463"/>
    <w:rsid w:val="2E112A52"/>
    <w:rsid w:val="2EF96EE4"/>
    <w:rsid w:val="31E37A09"/>
    <w:rsid w:val="32C207BF"/>
    <w:rsid w:val="3380787D"/>
    <w:rsid w:val="33822A0F"/>
    <w:rsid w:val="34F565DC"/>
    <w:rsid w:val="35D271A0"/>
    <w:rsid w:val="36254FE4"/>
    <w:rsid w:val="36AA39B8"/>
    <w:rsid w:val="372F61E0"/>
    <w:rsid w:val="386B238A"/>
    <w:rsid w:val="38CF41CC"/>
    <w:rsid w:val="39322FCA"/>
    <w:rsid w:val="395C1BFB"/>
    <w:rsid w:val="3A02248D"/>
    <w:rsid w:val="3A503E1E"/>
    <w:rsid w:val="3AB90991"/>
    <w:rsid w:val="3B706131"/>
    <w:rsid w:val="3BA020F4"/>
    <w:rsid w:val="3BF833EC"/>
    <w:rsid w:val="3C8E02FC"/>
    <w:rsid w:val="3E0838CB"/>
    <w:rsid w:val="3E6F041E"/>
    <w:rsid w:val="3E772188"/>
    <w:rsid w:val="3E846635"/>
    <w:rsid w:val="3F9D2397"/>
    <w:rsid w:val="41744205"/>
    <w:rsid w:val="418D0CE6"/>
    <w:rsid w:val="41A5482C"/>
    <w:rsid w:val="4275481E"/>
    <w:rsid w:val="428B617A"/>
    <w:rsid w:val="42CE288A"/>
    <w:rsid w:val="433D7BDC"/>
    <w:rsid w:val="437E1813"/>
    <w:rsid w:val="43A427AA"/>
    <w:rsid w:val="444E2202"/>
    <w:rsid w:val="45354CBC"/>
    <w:rsid w:val="45BD47FC"/>
    <w:rsid w:val="45CC5FB2"/>
    <w:rsid w:val="46B75BA8"/>
    <w:rsid w:val="46E91D19"/>
    <w:rsid w:val="48502A9F"/>
    <w:rsid w:val="48C97955"/>
    <w:rsid w:val="49880C8F"/>
    <w:rsid w:val="4A8835F7"/>
    <w:rsid w:val="4B592E71"/>
    <w:rsid w:val="4DF75369"/>
    <w:rsid w:val="4EA23B01"/>
    <w:rsid w:val="4EB0217D"/>
    <w:rsid w:val="4F482E54"/>
    <w:rsid w:val="4F8B220C"/>
    <w:rsid w:val="504F4EAF"/>
    <w:rsid w:val="516C4BAA"/>
    <w:rsid w:val="51D51447"/>
    <w:rsid w:val="52B9239A"/>
    <w:rsid w:val="52D52A7F"/>
    <w:rsid w:val="54BD78FD"/>
    <w:rsid w:val="552A3C28"/>
    <w:rsid w:val="555A2DA3"/>
    <w:rsid w:val="56901A99"/>
    <w:rsid w:val="58A86DDE"/>
    <w:rsid w:val="58EA204C"/>
    <w:rsid w:val="59154AD7"/>
    <w:rsid w:val="5A542AB4"/>
    <w:rsid w:val="5ADF548D"/>
    <w:rsid w:val="5B547A6B"/>
    <w:rsid w:val="5BF95104"/>
    <w:rsid w:val="5C4627AE"/>
    <w:rsid w:val="5C9249CA"/>
    <w:rsid w:val="5D5C60B4"/>
    <w:rsid w:val="5D8073BF"/>
    <w:rsid w:val="5F4F52F9"/>
    <w:rsid w:val="5F7337A0"/>
    <w:rsid w:val="60227C65"/>
    <w:rsid w:val="60651FB9"/>
    <w:rsid w:val="614E12EC"/>
    <w:rsid w:val="616D6769"/>
    <w:rsid w:val="629E3C71"/>
    <w:rsid w:val="63F04A69"/>
    <w:rsid w:val="63FA0E23"/>
    <w:rsid w:val="646A3D0C"/>
    <w:rsid w:val="64713DD8"/>
    <w:rsid w:val="64A82747"/>
    <w:rsid w:val="65336B29"/>
    <w:rsid w:val="65AA5B01"/>
    <w:rsid w:val="66A50B1E"/>
    <w:rsid w:val="67095CF1"/>
    <w:rsid w:val="674E3DF4"/>
    <w:rsid w:val="67B2063C"/>
    <w:rsid w:val="67C97AC3"/>
    <w:rsid w:val="67E30EC1"/>
    <w:rsid w:val="68236767"/>
    <w:rsid w:val="6A4E3B2B"/>
    <w:rsid w:val="6A881455"/>
    <w:rsid w:val="6AC838A9"/>
    <w:rsid w:val="6B481C3B"/>
    <w:rsid w:val="6B875383"/>
    <w:rsid w:val="6B914DF2"/>
    <w:rsid w:val="6BBD7F47"/>
    <w:rsid w:val="6C1331A3"/>
    <w:rsid w:val="6C765676"/>
    <w:rsid w:val="6CA84BC1"/>
    <w:rsid w:val="6D170ADE"/>
    <w:rsid w:val="6D3E4756"/>
    <w:rsid w:val="6E891568"/>
    <w:rsid w:val="6F410CC0"/>
    <w:rsid w:val="6FC523EB"/>
    <w:rsid w:val="6FE22646"/>
    <w:rsid w:val="70825D63"/>
    <w:rsid w:val="71F00129"/>
    <w:rsid w:val="71FE41EB"/>
    <w:rsid w:val="72895F2E"/>
    <w:rsid w:val="72C02EBE"/>
    <w:rsid w:val="72C507AD"/>
    <w:rsid w:val="72D028D8"/>
    <w:rsid w:val="745D47C3"/>
    <w:rsid w:val="750F0599"/>
    <w:rsid w:val="751B1584"/>
    <w:rsid w:val="75341FA7"/>
    <w:rsid w:val="75FC0A1E"/>
    <w:rsid w:val="764F7753"/>
    <w:rsid w:val="76AC3757"/>
    <w:rsid w:val="77D4005C"/>
    <w:rsid w:val="78292927"/>
    <w:rsid w:val="78E42452"/>
    <w:rsid w:val="7A670924"/>
    <w:rsid w:val="7A6D6EE3"/>
    <w:rsid w:val="7B9854E0"/>
    <w:rsid w:val="7C6021A7"/>
    <w:rsid w:val="7CAB4D9F"/>
    <w:rsid w:val="7CB93F8E"/>
    <w:rsid w:val="7CF66B46"/>
    <w:rsid w:val="7D4A0A5C"/>
    <w:rsid w:val="7D97125D"/>
    <w:rsid w:val="7DB618B0"/>
    <w:rsid w:val="7DBD28BA"/>
    <w:rsid w:val="7E736B66"/>
    <w:rsid w:val="7EEE33A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98" w:semiHidden="0" w:name="Normal"/>
    <w:lsdException w:qFormat="1" w:unhideWhenUsed="0" w:uiPriority="0" w:name="heading 1"/>
    <w:lsdException w:qFormat="1" w:unhideWhenUsed="0" w:uiPriority="0" w:name="heading 2"/>
    <w:lsdException w:qFormat="1" w:unhideWhenUsed="0" w:uiPriority="0" w:name="heading 3"/>
    <w:lsdException w:qFormat="1" w:unhideWhenUsed="0" w:uiPriority="0" w:name="heading 4"/>
    <w:lsdException w:qFormat="1" w:unhideWhenUsed="0" w:uiPriority="0" w:name="heading 5"/>
    <w:lsdException w:qFormat="1" w:uiPriority="0" w:name="heading 6"/>
    <w:lsdException w:qFormat="1" w:uiPriority="0" w:name="heading 7"/>
    <w:lsdException w:qFormat="1" w:uiPriority="0" w:name="heading 8"/>
    <w:lsdException w:qFormat="1" w:uiPriority="0" w:name="heading 9"/>
    <w:lsdException w:unhideWhenUsed="0" w:uiPriority="98" w:name="index 1"/>
    <w:lsdException w:unhideWhenUsed="0" w:uiPriority="98" w:name="index 2"/>
    <w:lsdException w:unhideWhenUsed="0" w:uiPriority="98" w:name="index 3"/>
    <w:lsdException w:unhideWhenUsed="0" w:uiPriority="98" w:name="index 4"/>
    <w:lsdException w:unhideWhenUsed="0" w:uiPriority="98" w:name="index 5"/>
    <w:lsdException w:unhideWhenUsed="0" w:uiPriority="98" w:name="index 6"/>
    <w:lsdException w:unhideWhenUsed="0" w:uiPriority="98" w:name="index 7"/>
    <w:lsdException w:unhideWhenUsed="0" w:uiPriority="98" w:name="index 8"/>
    <w:lsdException w:qFormat="1" w:unhideWhenUsed="0" w:uiPriority="98" w:name="index 9"/>
    <w:lsdException w:qFormat="1" w:unhideWhenUsed="0" w:uiPriority="39" w:semiHidden="0" w:name="toc 1"/>
    <w:lsdException w:qFormat="1" w:unhideWhenUsed="0" w:uiPriority="39" w:semiHidden="0" w:name="toc 2"/>
    <w:lsdException w:qFormat="1" w:unhideWhenUsed="0" w:uiPriority="39" w:name="toc 3"/>
    <w:lsdException w:unhideWhenUsed="0" w:uiPriority="98" w:name="toc 4"/>
    <w:lsdException w:unhideWhenUsed="0" w:uiPriority="98" w:name="toc 5"/>
    <w:lsdException w:unhideWhenUsed="0" w:uiPriority="98" w:name="toc 6"/>
    <w:lsdException w:unhideWhenUsed="0" w:uiPriority="98" w:name="toc 7"/>
    <w:lsdException w:unhideWhenUsed="0" w:uiPriority="98" w:name="toc 8"/>
    <w:lsdException w:unhideWhenUsed="0" w:uiPriority="98" w:name="toc 9"/>
    <w:lsdException w:unhideWhenUsed="0" w:uiPriority="98" w:name="Normal Indent"/>
    <w:lsdException w:unhideWhenUsed="0" w:uiPriority="98" w:name="footnote text"/>
    <w:lsdException w:qFormat="1" w:unhideWhenUsed="0" w:uiPriority="99" w:semiHidden="0" w:name="annotation text"/>
    <w:lsdException w:qFormat="1" w:unhideWhenUsed="0" w:uiPriority="0" w:name="header"/>
    <w:lsdException w:qFormat="1" w:unhideWhenUsed="0" w:uiPriority="99" w:semiHidden="0" w:name="footer"/>
    <w:lsdException w:unhideWhenUsed="0" w:uiPriority="98" w:name="index heading"/>
    <w:lsdException w:qFormat="1" w:unhideWhenUsed="0" w:uiPriority="98" w:name="caption"/>
    <w:lsdException w:unhideWhenUsed="0" w:uiPriority="98" w:name="table of figures"/>
    <w:lsdException w:unhideWhenUsed="0" w:uiPriority="98" w:name="envelope address"/>
    <w:lsdException w:unhideWhenUsed="0" w:uiPriority="98" w:name="envelope return"/>
    <w:lsdException w:unhideWhenUsed="0" w:uiPriority="98" w:name="footnote reference"/>
    <w:lsdException w:qFormat="1" w:unhideWhenUsed="0" w:uiPriority="98" w:name="annotation reference"/>
    <w:lsdException w:unhideWhenUsed="0" w:uiPriority="98" w:name="line number"/>
    <w:lsdException w:qFormat="1" w:unhideWhenUsed="0" w:uiPriority="0" w:name="page number"/>
    <w:lsdException w:unhideWhenUsed="0" w:uiPriority="98" w:name="endnote reference"/>
    <w:lsdException w:unhideWhenUsed="0" w:uiPriority="98" w:name="endnote text"/>
    <w:lsdException w:unhideWhenUsed="0" w:uiPriority="98" w:name="table of authorities"/>
    <w:lsdException w:unhideWhenUsed="0" w:uiPriority="98" w:name="macro"/>
    <w:lsdException w:unhideWhenUsed="0" w:uiPriority="98" w:name="toa heading"/>
    <w:lsdException w:qFormat="1" w:unhideWhenUsed="0" w:uiPriority="0" w:semiHidden="0" w:name="List"/>
    <w:lsdException w:unhideWhenUsed="0" w:uiPriority="98" w:name="List Bullet"/>
    <w:lsdException w:unhideWhenUsed="0" w:uiPriority="98" w:name="List Number"/>
    <w:lsdException w:unhideWhenUsed="0" w:uiPriority="98" w:name="List 2"/>
    <w:lsdException w:unhideWhenUsed="0" w:uiPriority="98" w:name="List 3"/>
    <w:lsdException w:unhideWhenUsed="0" w:uiPriority="98" w:name="List 4"/>
    <w:lsdException w:unhideWhenUsed="0" w:uiPriority="98" w:name="List 5"/>
    <w:lsdException w:unhideWhenUsed="0" w:uiPriority="98" w:name="List Bullet 2"/>
    <w:lsdException w:unhideWhenUsed="0" w:uiPriority="98" w:name="List Bullet 3"/>
    <w:lsdException w:unhideWhenUsed="0" w:uiPriority="98" w:name="List Bullet 4"/>
    <w:lsdException w:unhideWhenUsed="0" w:uiPriority="98" w:name="List Bullet 5"/>
    <w:lsdException w:unhideWhenUsed="0" w:uiPriority="98" w:name="List Number 2"/>
    <w:lsdException w:unhideWhenUsed="0" w:uiPriority="98" w:name="List Number 3"/>
    <w:lsdException w:unhideWhenUsed="0" w:uiPriority="98" w:name="List Number 4"/>
    <w:lsdException w:unhideWhenUsed="0" w:uiPriority="98" w:name="List Number 5"/>
    <w:lsdException w:qFormat="1" w:unhideWhenUsed="0" w:uiPriority="0" w:name="Title"/>
    <w:lsdException w:unhideWhenUsed="0" w:uiPriority="98" w:name="Closing"/>
    <w:lsdException w:unhideWhenUsed="0" w:uiPriority="98" w:name="Signature"/>
    <w:lsdException w:qFormat="1" w:uiPriority="1" w:name="Default Paragraph Font"/>
    <w:lsdException w:qFormat="1" w:unhideWhenUsed="0" w:uiPriority="98" w:name="Body Text"/>
    <w:lsdException w:qFormat="1" w:unhideWhenUsed="0" w:uiPriority="0" w:name="Body Text Indent"/>
    <w:lsdException w:unhideWhenUsed="0" w:uiPriority="98" w:name="List Continue"/>
    <w:lsdException w:unhideWhenUsed="0" w:uiPriority="98" w:name="List Continue 2"/>
    <w:lsdException w:unhideWhenUsed="0" w:uiPriority="98" w:name="List Continue 3"/>
    <w:lsdException w:unhideWhenUsed="0" w:uiPriority="98" w:name="List Continue 4"/>
    <w:lsdException w:unhideWhenUsed="0" w:uiPriority="98" w:name="List Continue 5"/>
    <w:lsdException w:qFormat="1" w:unhideWhenUsed="0" w:uiPriority="99" w:name="Message Header"/>
    <w:lsdException w:qFormat="1" w:unhideWhenUsed="0" w:uiPriority="98" w:semiHidden="0" w:name="Subtitle"/>
    <w:lsdException w:unhideWhenUsed="0" w:uiPriority="98" w:name="Salutation"/>
    <w:lsdException w:qFormat="1" w:unhideWhenUsed="0" w:uiPriority="0" w:name="Date"/>
    <w:lsdException w:unhideWhenUsed="0" w:uiPriority="98" w:name="Body Text First Indent"/>
    <w:lsdException w:qFormat="1" w:unhideWhenUsed="0" w:uiPriority="0" w:semiHidden="0" w:name="Body Text First Indent 2"/>
    <w:lsdException w:unhideWhenUsed="0" w:uiPriority="98" w:name="Note Heading"/>
    <w:lsdException w:unhideWhenUsed="0" w:uiPriority="98" w:name="Body Text 2"/>
    <w:lsdException w:unhideWhenUsed="0" w:uiPriority="98" w:name="Body Text 3"/>
    <w:lsdException w:qFormat="1" w:unhideWhenUsed="0" w:uiPriority="0" w:name="Body Text Indent 2"/>
    <w:lsdException w:qFormat="1" w:unhideWhenUsed="0" w:uiPriority="0" w:name="Body Text Indent 3"/>
    <w:lsdException w:unhideWhenUsed="0" w:uiPriority="98" w:name="Block Text"/>
    <w:lsdException w:qFormat="1" w:unhideWhenUsed="0" w:uiPriority="99" w:semiHidden="0" w:name="Hyperlink"/>
    <w:lsdException w:qFormat="1" w:unhideWhenUsed="0" w:uiPriority="98" w:name="FollowedHyperlink"/>
    <w:lsdException w:qFormat="1" w:unhideWhenUsed="0" w:uiPriority="98" w:name="Strong"/>
    <w:lsdException w:qFormat="1" w:unhideWhenUsed="0" w:uiPriority="98" w:name="Emphasis"/>
    <w:lsdException w:qFormat="1" w:unhideWhenUsed="0" w:uiPriority="0" w:name="Document Map"/>
    <w:lsdException w:qFormat="1" w:unhideWhenUsed="0" w:uiPriority="0" w:semiHidden="0" w:name="Plain Text"/>
    <w:lsdException w:qFormat="1" w:unhideWhenUsed="0" w:uiPriority="99" w:name="E-mail Signature"/>
    <w:lsdException w:qFormat="1" w:unhideWhenUsed="0" w:uiPriority="0" w:name="Normal (Web)"/>
    <w:lsdException w:unhideWhenUsed="0" w:uiPriority="98" w:name="HTML Acronym"/>
    <w:lsdException w:unhideWhenUsed="0" w:uiPriority="98" w:name="HTML Address"/>
    <w:lsdException w:unhideWhenUsed="0" w:uiPriority="98" w:name="HTML Cite"/>
    <w:lsdException w:unhideWhenUsed="0" w:uiPriority="98" w:name="HTML Code"/>
    <w:lsdException w:unhideWhenUsed="0" w:uiPriority="98" w:name="HTML Definition"/>
    <w:lsdException w:uiPriority="0" w:name="HTML Keyboard"/>
    <w:lsdException w:unhideWhenUsed="0" w:uiPriority="98" w:name="HTML Preformatted"/>
    <w:lsdException w:unhideWhenUsed="0" w:uiPriority="98" w:name="HTML Sample"/>
    <w:lsdException w:unhideWhenUsed="0" w:uiPriority="98" w:name="HTML Typewriter"/>
    <w:lsdException w:unhideWhenUsed="0" w:uiPriority="98" w:name="HTML Variable"/>
    <w:lsdException w:qFormat="1" w:uiPriority="99" w:name="Normal Table"/>
    <w:lsdException w:qFormat="1" w:unhideWhenUsed="0" w:uiPriority="98"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name="Balloon Text"/>
    <w:lsdException w:qFormat="1"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98"/>
    <w:pPr>
      <w:widowControl w:val="0"/>
      <w:jc w:val="both"/>
    </w:pPr>
    <w:rPr>
      <w:rFonts w:ascii="Times New Roman" w:hAnsi="Times New Roman" w:eastAsia="宋体" w:cs="Times New Roman"/>
      <w:kern w:val="2"/>
      <w:sz w:val="21"/>
      <w:lang w:val="en-US" w:eastAsia="zh-CN" w:bidi="ar-SA"/>
    </w:rPr>
  </w:style>
  <w:style w:type="paragraph" w:styleId="4">
    <w:name w:val="heading 1"/>
    <w:basedOn w:val="1"/>
    <w:next w:val="1"/>
    <w:link w:val="67"/>
    <w:semiHidden/>
    <w:qFormat/>
    <w:uiPriority w:val="0"/>
    <w:pPr>
      <w:keepNext/>
      <w:keepLines/>
      <w:spacing w:before="340" w:after="330" w:line="578" w:lineRule="auto"/>
      <w:outlineLvl w:val="0"/>
    </w:pPr>
    <w:rPr>
      <w:b/>
      <w:bCs/>
      <w:kern w:val="44"/>
      <w:sz w:val="44"/>
      <w:szCs w:val="44"/>
    </w:rPr>
  </w:style>
  <w:style w:type="paragraph" w:styleId="5">
    <w:name w:val="heading 2"/>
    <w:basedOn w:val="1"/>
    <w:next w:val="1"/>
    <w:link w:val="81"/>
    <w:semiHidden/>
    <w:qFormat/>
    <w:uiPriority w:val="0"/>
    <w:pPr>
      <w:keepNext/>
      <w:keepLines/>
      <w:spacing w:before="260" w:after="260" w:line="416" w:lineRule="auto"/>
      <w:outlineLvl w:val="1"/>
    </w:pPr>
    <w:rPr>
      <w:rFonts w:asciiTheme="majorHAnsi" w:hAnsiTheme="majorHAnsi" w:eastAsiaTheme="majorEastAsia" w:cstheme="majorBidi"/>
      <w:b/>
      <w:bCs/>
      <w:sz w:val="32"/>
      <w:szCs w:val="32"/>
    </w:rPr>
  </w:style>
  <w:style w:type="paragraph" w:styleId="6">
    <w:name w:val="heading 3"/>
    <w:basedOn w:val="1"/>
    <w:next w:val="1"/>
    <w:link w:val="111"/>
    <w:semiHidden/>
    <w:qFormat/>
    <w:uiPriority w:val="0"/>
    <w:pPr>
      <w:keepNext/>
      <w:keepLines/>
      <w:spacing w:line="416" w:lineRule="auto"/>
      <w:outlineLvl w:val="2"/>
    </w:pPr>
    <w:rPr>
      <w:b/>
      <w:bCs/>
      <w:sz w:val="32"/>
      <w:szCs w:val="32"/>
    </w:rPr>
  </w:style>
  <w:style w:type="paragraph" w:styleId="7">
    <w:name w:val="heading 4"/>
    <w:basedOn w:val="1"/>
    <w:next w:val="1"/>
    <w:link w:val="77"/>
    <w:semiHidden/>
    <w:qFormat/>
    <w:uiPriority w:val="0"/>
    <w:pPr>
      <w:keepNext/>
      <w:keepLines/>
      <w:spacing w:line="360" w:lineRule="auto"/>
      <w:outlineLvl w:val="3"/>
    </w:pPr>
    <w:rPr>
      <w:rFonts w:ascii="Arial" w:hAnsi="Arial"/>
      <w:b/>
      <w:bCs/>
      <w:szCs w:val="28"/>
    </w:rPr>
  </w:style>
  <w:style w:type="paragraph" w:styleId="8">
    <w:name w:val="heading 5"/>
    <w:basedOn w:val="1"/>
    <w:next w:val="1"/>
    <w:link w:val="78"/>
    <w:semiHidden/>
    <w:qFormat/>
    <w:uiPriority w:val="0"/>
    <w:pPr>
      <w:keepNext/>
      <w:numPr>
        <w:ilvl w:val="0"/>
        <w:numId w:val="1"/>
      </w:numPr>
      <w:autoSpaceDE w:val="0"/>
      <w:autoSpaceDN w:val="0"/>
      <w:adjustRightInd w:val="0"/>
      <w:spacing w:line="465" w:lineRule="exact"/>
      <w:jc w:val="left"/>
      <w:outlineLvl w:val="4"/>
    </w:pPr>
    <w:rPr>
      <w:rFonts w:ascii="宋体" w:hAnsi="宋体"/>
      <w:bCs/>
      <w:iCs/>
      <w:color w:val="000000"/>
      <w:kern w:val="0"/>
      <w:sz w:val="28"/>
      <w:szCs w:val="28"/>
    </w:rPr>
  </w:style>
  <w:style w:type="character" w:default="1" w:styleId="33">
    <w:name w:val="Default Paragraph Font"/>
    <w:semiHidden/>
    <w:unhideWhenUsed/>
    <w:qFormat/>
    <w:uiPriority w:val="1"/>
  </w:style>
  <w:style w:type="table" w:default="1" w:styleId="31">
    <w:name w:val="Normal Table"/>
    <w:semiHidden/>
    <w:unhideWhenUsed/>
    <w:qFormat/>
    <w:uiPriority w:val="99"/>
    <w:tblPr>
      <w:tblCellMar>
        <w:top w:w="0" w:type="dxa"/>
        <w:left w:w="108" w:type="dxa"/>
        <w:bottom w:w="0" w:type="dxa"/>
        <w:right w:w="108" w:type="dxa"/>
      </w:tblCellMar>
    </w:tblPr>
  </w:style>
  <w:style w:type="paragraph" w:styleId="2">
    <w:name w:val="Body Text"/>
    <w:basedOn w:val="1"/>
    <w:next w:val="3"/>
    <w:link w:val="42"/>
    <w:semiHidden/>
    <w:qFormat/>
    <w:uiPriority w:val="98"/>
    <w:rPr>
      <w:rFonts w:ascii="仿宋_GB2312" w:eastAsia="仿宋_GB2312"/>
      <w:sz w:val="32"/>
    </w:rPr>
  </w:style>
  <w:style w:type="paragraph" w:customStyle="1" w:styleId="3">
    <w:name w:val="Default"/>
    <w:qFormat/>
    <w:uiPriority w:val="0"/>
    <w:pPr>
      <w:widowControl w:val="0"/>
      <w:autoSpaceDE w:val="0"/>
      <w:autoSpaceDN w:val="0"/>
      <w:adjustRightInd w:val="0"/>
    </w:pPr>
    <w:rPr>
      <w:rFonts w:ascii="仿宋_GB2312" w:hAnsi="Calibri" w:eastAsia="仿宋_GB2312" w:cs="仿宋_GB2312"/>
      <w:color w:val="000000"/>
      <w:sz w:val="24"/>
      <w:szCs w:val="24"/>
      <w:lang w:val="en-US" w:eastAsia="zh-CN" w:bidi="ar-SA"/>
    </w:rPr>
  </w:style>
  <w:style w:type="paragraph" w:styleId="9">
    <w:name w:val="E-mail Signature"/>
    <w:basedOn w:val="1"/>
    <w:link w:val="104"/>
    <w:semiHidden/>
    <w:qFormat/>
    <w:uiPriority w:val="99"/>
    <w:pPr>
      <w:spacing w:after="200" w:line="276" w:lineRule="auto"/>
      <w:jc w:val="left"/>
    </w:pPr>
    <w:rPr>
      <w:rFonts w:ascii="Calibri" w:hAnsi="Calibri"/>
      <w:kern w:val="0"/>
      <w:szCs w:val="21"/>
    </w:rPr>
  </w:style>
  <w:style w:type="paragraph" w:styleId="10">
    <w:name w:val="caption"/>
    <w:basedOn w:val="1"/>
    <w:next w:val="1"/>
    <w:semiHidden/>
    <w:qFormat/>
    <w:uiPriority w:val="98"/>
    <w:pPr>
      <w:spacing w:before="152" w:after="160"/>
    </w:pPr>
    <w:rPr>
      <w:rFonts w:ascii="Arial" w:hAnsi="Arial" w:eastAsia="黑体" w:cs="Arial"/>
      <w:sz w:val="20"/>
    </w:rPr>
  </w:style>
  <w:style w:type="paragraph" w:styleId="11">
    <w:name w:val="Document Map"/>
    <w:basedOn w:val="1"/>
    <w:link w:val="93"/>
    <w:semiHidden/>
    <w:qFormat/>
    <w:uiPriority w:val="0"/>
    <w:pPr>
      <w:adjustRightInd w:val="0"/>
      <w:spacing w:line="312" w:lineRule="atLeast"/>
      <w:textAlignment w:val="baseline"/>
    </w:pPr>
    <w:rPr>
      <w:rFonts w:ascii="宋体"/>
      <w:kern w:val="0"/>
      <w:sz w:val="18"/>
      <w:szCs w:val="18"/>
    </w:rPr>
  </w:style>
  <w:style w:type="paragraph" w:styleId="12">
    <w:name w:val="annotation text"/>
    <w:basedOn w:val="1"/>
    <w:link w:val="46"/>
    <w:qFormat/>
    <w:uiPriority w:val="99"/>
    <w:pPr>
      <w:jc w:val="left"/>
    </w:pPr>
  </w:style>
  <w:style w:type="paragraph" w:styleId="13">
    <w:name w:val="Body Text Indent"/>
    <w:basedOn w:val="1"/>
    <w:link w:val="49"/>
    <w:semiHidden/>
    <w:qFormat/>
    <w:uiPriority w:val="0"/>
    <w:pPr>
      <w:spacing w:after="120"/>
      <w:ind w:left="420" w:leftChars="200"/>
    </w:pPr>
    <w:rPr>
      <w:rFonts w:ascii="Calibri" w:hAnsi="Calibri"/>
      <w:szCs w:val="22"/>
    </w:rPr>
  </w:style>
  <w:style w:type="paragraph" w:styleId="14">
    <w:name w:val="toc 3"/>
    <w:basedOn w:val="1"/>
    <w:next w:val="1"/>
    <w:semiHidden/>
    <w:qFormat/>
    <w:uiPriority w:val="39"/>
    <w:pPr>
      <w:adjustRightInd w:val="0"/>
      <w:spacing w:line="312" w:lineRule="atLeast"/>
      <w:ind w:left="840" w:leftChars="400"/>
      <w:textAlignment w:val="baseline"/>
    </w:pPr>
    <w:rPr>
      <w:kern w:val="0"/>
      <w:sz w:val="24"/>
    </w:rPr>
  </w:style>
  <w:style w:type="paragraph" w:styleId="15">
    <w:name w:val="Plain Text"/>
    <w:basedOn w:val="1"/>
    <w:link w:val="51"/>
    <w:qFormat/>
    <w:uiPriority w:val="0"/>
    <w:rPr>
      <w:rFonts w:ascii="宋体" w:hAnsi="Courier New"/>
    </w:rPr>
  </w:style>
  <w:style w:type="paragraph" w:styleId="16">
    <w:name w:val="Date"/>
    <w:basedOn w:val="1"/>
    <w:next w:val="1"/>
    <w:link w:val="87"/>
    <w:semiHidden/>
    <w:qFormat/>
    <w:uiPriority w:val="0"/>
    <w:pPr>
      <w:adjustRightInd w:val="0"/>
      <w:spacing w:line="312" w:lineRule="atLeast"/>
      <w:ind w:left="100" w:leftChars="2500"/>
      <w:textAlignment w:val="baseline"/>
    </w:pPr>
    <w:rPr>
      <w:kern w:val="0"/>
      <w:sz w:val="24"/>
    </w:rPr>
  </w:style>
  <w:style w:type="paragraph" w:styleId="17">
    <w:name w:val="Body Text Indent 2"/>
    <w:basedOn w:val="1"/>
    <w:link w:val="86"/>
    <w:semiHidden/>
    <w:qFormat/>
    <w:uiPriority w:val="0"/>
    <w:pPr>
      <w:adjustRightInd w:val="0"/>
      <w:spacing w:after="120" w:line="480" w:lineRule="auto"/>
      <w:ind w:left="420" w:leftChars="200"/>
      <w:textAlignment w:val="baseline"/>
    </w:pPr>
    <w:rPr>
      <w:kern w:val="0"/>
      <w:sz w:val="24"/>
    </w:rPr>
  </w:style>
  <w:style w:type="paragraph" w:styleId="18">
    <w:name w:val="Balloon Text"/>
    <w:basedOn w:val="1"/>
    <w:link w:val="48"/>
    <w:semiHidden/>
    <w:qFormat/>
    <w:uiPriority w:val="0"/>
    <w:rPr>
      <w:sz w:val="18"/>
      <w:szCs w:val="18"/>
    </w:rPr>
  </w:style>
  <w:style w:type="paragraph" w:styleId="19">
    <w:name w:val="footer"/>
    <w:basedOn w:val="1"/>
    <w:link w:val="43"/>
    <w:qFormat/>
    <w:uiPriority w:val="99"/>
    <w:pPr>
      <w:tabs>
        <w:tab w:val="center" w:pos="4153"/>
        <w:tab w:val="right" w:pos="8306"/>
      </w:tabs>
      <w:snapToGrid w:val="0"/>
      <w:jc w:val="left"/>
    </w:pPr>
    <w:rPr>
      <w:sz w:val="18"/>
      <w:szCs w:val="18"/>
    </w:rPr>
  </w:style>
  <w:style w:type="paragraph" w:styleId="20">
    <w:name w:val="header"/>
    <w:basedOn w:val="1"/>
    <w:link w:val="53"/>
    <w:semiHidden/>
    <w:qFormat/>
    <w:uiPriority w:val="0"/>
    <w:pPr>
      <w:pBdr>
        <w:bottom w:val="single" w:color="auto" w:sz="6" w:space="1"/>
      </w:pBdr>
      <w:tabs>
        <w:tab w:val="center" w:pos="4153"/>
        <w:tab w:val="right" w:pos="8306"/>
      </w:tabs>
      <w:snapToGrid w:val="0"/>
      <w:jc w:val="center"/>
    </w:pPr>
    <w:rPr>
      <w:sz w:val="18"/>
      <w:szCs w:val="18"/>
    </w:rPr>
  </w:style>
  <w:style w:type="paragraph" w:styleId="21">
    <w:name w:val="toc 1"/>
    <w:basedOn w:val="1"/>
    <w:next w:val="1"/>
    <w:qFormat/>
    <w:uiPriority w:val="39"/>
    <w:pPr>
      <w:tabs>
        <w:tab w:val="right" w:leader="dot" w:pos="8729"/>
      </w:tabs>
      <w:spacing w:line="480" w:lineRule="auto"/>
      <w:jc w:val="left"/>
    </w:pPr>
    <w:rPr>
      <w:rFonts w:ascii="宋体" w:hAnsi="宋体"/>
      <w:b/>
      <w:caps/>
      <w:sz w:val="28"/>
      <w:szCs w:val="28"/>
    </w:rPr>
  </w:style>
  <w:style w:type="paragraph" w:styleId="22">
    <w:name w:val="List"/>
    <w:basedOn w:val="1"/>
    <w:qFormat/>
    <w:uiPriority w:val="0"/>
    <w:pPr>
      <w:ind w:left="200" w:hanging="200" w:hangingChars="200"/>
    </w:pPr>
    <w:rPr>
      <w:szCs w:val="21"/>
    </w:rPr>
  </w:style>
  <w:style w:type="paragraph" w:styleId="23">
    <w:name w:val="Body Text Indent 3"/>
    <w:basedOn w:val="1"/>
    <w:link w:val="83"/>
    <w:semiHidden/>
    <w:qFormat/>
    <w:uiPriority w:val="0"/>
    <w:pPr>
      <w:spacing w:line="360" w:lineRule="auto"/>
      <w:ind w:left="1347" w:leftChars="413" w:hanging="480" w:hangingChars="200"/>
    </w:pPr>
    <w:rPr>
      <w:rFonts w:ascii="宋体" w:hAnsi="宋体"/>
      <w:color w:val="FF0000"/>
      <w:sz w:val="24"/>
      <w:szCs w:val="24"/>
    </w:rPr>
  </w:style>
  <w:style w:type="paragraph" w:styleId="24">
    <w:name w:val="index 9"/>
    <w:basedOn w:val="1"/>
    <w:next w:val="1"/>
    <w:semiHidden/>
    <w:qFormat/>
    <w:uiPriority w:val="98"/>
    <w:pPr>
      <w:ind w:left="1600" w:leftChars="1600"/>
    </w:pPr>
  </w:style>
  <w:style w:type="paragraph" w:styleId="25">
    <w:name w:val="toc 2"/>
    <w:basedOn w:val="1"/>
    <w:next w:val="1"/>
    <w:qFormat/>
    <w:uiPriority w:val="39"/>
    <w:pPr>
      <w:ind w:left="420" w:leftChars="200"/>
    </w:pPr>
  </w:style>
  <w:style w:type="paragraph" w:styleId="26">
    <w:name w:val="Message Header"/>
    <w:basedOn w:val="1"/>
    <w:link w:val="108"/>
    <w:semiHidden/>
    <w:qFormat/>
    <w:uiPriority w:val="99"/>
    <w:pPr>
      <w:pBdr>
        <w:top w:val="single" w:color="auto" w:sz="6" w:space="1"/>
        <w:left w:val="single" w:color="auto" w:sz="6" w:space="1"/>
        <w:bottom w:val="single" w:color="auto" w:sz="6" w:space="1"/>
        <w:right w:val="single" w:color="auto" w:sz="6" w:space="1"/>
      </w:pBdr>
      <w:shd w:val="pct20" w:color="auto" w:fill="auto"/>
      <w:spacing w:after="200" w:line="276" w:lineRule="auto"/>
      <w:ind w:left="1080" w:leftChars="500" w:hanging="1080" w:hangingChars="500"/>
      <w:jc w:val="left"/>
    </w:pPr>
    <w:rPr>
      <w:rFonts w:ascii="Cambria" w:hAnsi="Cambria" w:cs="Cambria"/>
      <w:kern w:val="0"/>
      <w:sz w:val="24"/>
      <w:szCs w:val="24"/>
    </w:rPr>
  </w:style>
  <w:style w:type="paragraph" w:styleId="27">
    <w:name w:val="Normal (Web)"/>
    <w:basedOn w:val="1"/>
    <w:semiHidden/>
    <w:qFormat/>
    <w:uiPriority w:val="0"/>
    <w:pPr>
      <w:widowControl/>
      <w:adjustRightInd w:val="0"/>
      <w:spacing w:before="100" w:beforeAutospacing="1" w:after="100" w:afterAutospacing="1" w:line="312" w:lineRule="atLeast"/>
      <w:jc w:val="left"/>
      <w:textAlignment w:val="baseline"/>
    </w:pPr>
    <w:rPr>
      <w:rFonts w:ascii="宋体" w:hAnsi="宋体" w:cs="宋体"/>
      <w:kern w:val="0"/>
      <w:sz w:val="24"/>
      <w:szCs w:val="24"/>
    </w:rPr>
  </w:style>
  <w:style w:type="paragraph" w:styleId="28">
    <w:name w:val="Title"/>
    <w:basedOn w:val="1"/>
    <w:next w:val="1"/>
    <w:link w:val="70"/>
    <w:semiHidden/>
    <w:qFormat/>
    <w:uiPriority w:val="0"/>
    <w:pPr>
      <w:spacing w:before="240" w:after="60"/>
      <w:jc w:val="center"/>
      <w:outlineLvl w:val="0"/>
    </w:pPr>
    <w:rPr>
      <w:rFonts w:eastAsia="黑体" w:asciiTheme="majorHAnsi" w:hAnsiTheme="majorHAnsi" w:cstheme="majorBidi"/>
      <w:b/>
      <w:bCs/>
      <w:sz w:val="36"/>
      <w:szCs w:val="32"/>
    </w:rPr>
  </w:style>
  <w:style w:type="paragraph" w:styleId="29">
    <w:name w:val="annotation subject"/>
    <w:basedOn w:val="12"/>
    <w:next w:val="12"/>
    <w:link w:val="54"/>
    <w:semiHidden/>
    <w:qFormat/>
    <w:uiPriority w:val="98"/>
    <w:rPr>
      <w:b/>
      <w:bCs/>
    </w:rPr>
  </w:style>
  <w:style w:type="paragraph" w:styleId="30">
    <w:name w:val="Body Text First Indent 2"/>
    <w:basedOn w:val="13"/>
    <w:next w:val="25"/>
    <w:qFormat/>
    <w:uiPriority w:val="0"/>
    <w:pPr>
      <w:spacing w:line="276" w:lineRule="auto"/>
      <w:ind w:left="200" w:firstLine="200" w:firstLineChars="200"/>
      <w:jc w:val="left"/>
    </w:pPr>
  </w:style>
  <w:style w:type="table" w:styleId="32">
    <w:name w:val="Table Grid"/>
    <w:basedOn w:val="31"/>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34">
    <w:name w:val="Strong"/>
    <w:semiHidden/>
    <w:qFormat/>
    <w:uiPriority w:val="98"/>
    <w:rPr>
      <w:b/>
    </w:rPr>
  </w:style>
  <w:style w:type="character" w:styleId="35">
    <w:name w:val="page number"/>
    <w:basedOn w:val="33"/>
    <w:semiHidden/>
    <w:qFormat/>
    <w:uiPriority w:val="0"/>
  </w:style>
  <w:style w:type="character" w:styleId="36">
    <w:name w:val="FollowedHyperlink"/>
    <w:semiHidden/>
    <w:qFormat/>
    <w:uiPriority w:val="98"/>
    <w:rPr>
      <w:color w:val="800080"/>
      <w:u w:val="single"/>
    </w:rPr>
  </w:style>
  <w:style w:type="character" w:styleId="37">
    <w:name w:val="Emphasis"/>
    <w:semiHidden/>
    <w:qFormat/>
    <w:uiPriority w:val="98"/>
    <w:rPr>
      <w:i/>
      <w:iCs/>
    </w:rPr>
  </w:style>
  <w:style w:type="character" w:styleId="38">
    <w:name w:val="Hyperlink"/>
    <w:basedOn w:val="33"/>
    <w:qFormat/>
    <w:uiPriority w:val="99"/>
    <w:rPr>
      <w:rFonts w:cs="Times New Roman"/>
      <w:color w:val="1F4F88"/>
      <w:u w:val="none"/>
    </w:rPr>
  </w:style>
  <w:style w:type="character" w:styleId="39">
    <w:name w:val="annotation reference"/>
    <w:semiHidden/>
    <w:qFormat/>
    <w:uiPriority w:val="98"/>
    <w:rPr>
      <w:sz w:val="21"/>
      <w:szCs w:val="21"/>
    </w:rPr>
  </w:style>
  <w:style w:type="character" w:customStyle="1" w:styleId="40">
    <w:name w:val="Char Char3"/>
    <w:semiHidden/>
    <w:qFormat/>
    <w:uiPriority w:val="98"/>
    <w:rPr>
      <w:rFonts w:ascii="宋体" w:hAnsi="Courier New" w:eastAsia="宋体"/>
      <w:kern w:val="2"/>
      <w:sz w:val="21"/>
      <w:lang w:val="en-US" w:eastAsia="zh-CN" w:bidi="ar-SA"/>
    </w:rPr>
  </w:style>
  <w:style w:type="character" w:customStyle="1" w:styleId="41">
    <w:name w:val="纯文本 Char"/>
    <w:semiHidden/>
    <w:qFormat/>
    <w:uiPriority w:val="98"/>
    <w:rPr>
      <w:rFonts w:ascii="宋体" w:hAnsi="Courier New" w:eastAsia="宋体"/>
      <w:kern w:val="2"/>
      <w:sz w:val="21"/>
      <w:lang w:val="en-US" w:eastAsia="zh-CN" w:bidi="ar-SA"/>
    </w:rPr>
  </w:style>
  <w:style w:type="character" w:customStyle="1" w:styleId="42">
    <w:name w:val="正文文本 字符"/>
    <w:link w:val="2"/>
    <w:semiHidden/>
    <w:qFormat/>
    <w:uiPriority w:val="98"/>
    <w:rPr>
      <w:rFonts w:ascii="仿宋_GB2312" w:eastAsia="仿宋_GB2312"/>
      <w:kern w:val="2"/>
      <w:sz w:val="32"/>
    </w:rPr>
  </w:style>
  <w:style w:type="character" w:customStyle="1" w:styleId="43">
    <w:name w:val="页脚 字符"/>
    <w:link w:val="19"/>
    <w:qFormat/>
    <w:uiPriority w:val="99"/>
    <w:rPr>
      <w:kern w:val="2"/>
      <w:sz w:val="18"/>
      <w:szCs w:val="18"/>
    </w:rPr>
  </w:style>
  <w:style w:type="character" w:customStyle="1" w:styleId="44">
    <w:name w:val="标题 3 字符"/>
    <w:semiHidden/>
    <w:qFormat/>
    <w:uiPriority w:val="0"/>
    <w:rPr>
      <w:b/>
      <w:bCs/>
      <w:kern w:val="2"/>
      <w:sz w:val="32"/>
      <w:szCs w:val="32"/>
    </w:rPr>
  </w:style>
  <w:style w:type="character" w:customStyle="1" w:styleId="45">
    <w:name w:val="正文文本 Char"/>
    <w:semiHidden/>
    <w:qFormat/>
    <w:uiPriority w:val="98"/>
    <w:rPr>
      <w:rFonts w:ascii="仿宋_GB2312" w:eastAsia="仿宋_GB2312"/>
      <w:kern w:val="2"/>
      <w:sz w:val="32"/>
    </w:rPr>
  </w:style>
  <w:style w:type="character" w:customStyle="1" w:styleId="46">
    <w:name w:val="批注文字 字符"/>
    <w:link w:val="12"/>
    <w:qFormat/>
    <w:uiPriority w:val="99"/>
    <w:rPr>
      <w:kern w:val="2"/>
      <w:sz w:val="21"/>
    </w:rPr>
  </w:style>
  <w:style w:type="character" w:customStyle="1" w:styleId="47">
    <w:name w:val="apple-converted-space"/>
    <w:basedOn w:val="33"/>
    <w:semiHidden/>
    <w:qFormat/>
    <w:uiPriority w:val="98"/>
  </w:style>
  <w:style w:type="character" w:customStyle="1" w:styleId="48">
    <w:name w:val="批注框文本 字符"/>
    <w:link w:val="18"/>
    <w:semiHidden/>
    <w:qFormat/>
    <w:uiPriority w:val="98"/>
    <w:rPr>
      <w:kern w:val="2"/>
      <w:sz w:val="18"/>
      <w:szCs w:val="18"/>
    </w:rPr>
  </w:style>
  <w:style w:type="character" w:customStyle="1" w:styleId="49">
    <w:name w:val="正文文本缩进 字符"/>
    <w:link w:val="13"/>
    <w:semiHidden/>
    <w:qFormat/>
    <w:uiPriority w:val="0"/>
    <w:rPr>
      <w:rFonts w:ascii="Calibri" w:hAnsi="Calibri"/>
      <w:kern w:val="2"/>
      <w:sz w:val="21"/>
      <w:szCs w:val="22"/>
    </w:rPr>
  </w:style>
  <w:style w:type="character" w:customStyle="1" w:styleId="50">
    <w:name w:val="Char Char5"/>
    <w:semiHidden/>
    <w:qFormat/>
    <w:uiPriority w:val="98"/>
    <w:rPr>
      <w:rFonts w:ascii="宋体" w:hAnsi="Courier New" w:eastAsia="宋体"/>
      <w:kern w:val="2"/>
      <w:sz w:val="21"/>
      <w:lang w:val="en-US" w:eastAsia="zh-CN" w:bidi="ar-SA"/>
    </w:rPr>
  </w:style>
  <w:style w:type="character" w:customStyle="1" w:styleId="51">
    <w:name w:val="纯文本 字符1"/>
    <w:link w:val="15"/>
    <w:semiHidden/>
    <w:qFormat/>
    <w:uiPriority w:val="0"/>
    <w:rPr>
      <w:rFonts w:ascii="宋体" w:hAnsi="Courier New"/>
      <w:kern w:val="2"/>
      <w:sz w:val="21"/>
    </w:rPr>
  </w:style>
  <w:style w:type="character" w:customStyle="1" w:styleId="52">
    <w:name w:val="纯文本 字符"/>
    <w:semiHidden/>
    <w:qFormat/>
    <w:uiPriority w:val="98"/>
    <w:rPr>
      <w:rFonts w:ascii="宋体" w:hAnsi="Courier New" w:eastAsia="宋体"/>
    </w:rPr>
  </w:style>
  <w:style w:type="character" w:customStyle="1" w:styleId="53">
    <w:name w:val="页眉 字符"/>
    <w:link w:val="20"/>
    <w:semiHidden/>
    <w:qFormat/>
    <w:uiPriority w:val="0"/>
    <w:rPr>
      <w:kern w:val="2"/>
      <w:sz w:val="18"/>
      <w:szCs w:val="18"/>
    </w:rPr>
  </w:style>
  <w:style w:type="character" w:customStyle="1" w:styleId="54">
    <w:name w:val="批注主题 字符"/>
    <w:link w:val="29"/>
    <w:semiHidden/>
    <w:qFormat/>
    <w:uiPriority w:val="98"/>
    <w:rPr>
      <w:b/>
      <w:bCs/>
      <w:kern w:val="2"/>
      <w:sz w:val="21"/>
    </w:rPr>
  </w:style>
  <w:style w:type="character" w:customStyle="1" w:styleId="55">
    <w:name w:val="Char Char2"/>
    <w:semiHidden/>
    <w:qFormat/>
    <w:uiPriority w:val="98"/>
    <w:rPr>
      <w:rFonts w:ascii="宋体" w:hAnsi="Courier New" w:cs="宋体"/>
      <w:kern w:val="2"/>
      <w:sz w:val="21"/>
      <w:szCs w:val="21"/>
    </w:rPr>
  </w:style>
  <w:style w:type="character" w:customStyle="1" w:styleId="56">
    <w:name w:val="HTML Markup"/>
    <w:semiHidden/>
    <w:qFormat/>
    <w:uiPriority w:val="98"/>
    <w:rPr>
      <w:vanish/>
      <w:color w:val="FF0000"/>
    </w:rPr>
  </w:style>
  <w:style w:type="character" w:customStyle="1" w:styleId="57">
    <w:name w:val="纯文本 Char3"/>
    <w:semiHidden/>
    <w:qFormat/>
    <w:uiPriority w:val="98"/>
    <w:rPr>
      <w:rFonts w:ascii="宋体" w:hAnsi="Courier New" w:eastAsia="宋体"/>
      <w:kern w:val="2"/>
      <w:sz w:val="21"/>
      <w:lang w:val="en-US" w:eastAsia="zh-CN" w:bidi="ar-SA"/>
    </w:rPr>
  </w:style>
  <w:style w:type="character" w:customStyle="1" w:styleId="58">
    <w:name w:val="正文文本缩进 Char"/>
    <w:link w:val="59"/>
    <w:semiHidden/>
    <w:qFormat/>
    <w:uiPriority w:val="98"/>
    <w:rPr>
      <w:kern w:val="2"/>
      <w:sz w:val="21"/>
    </w:rPr>
  </w:style>
  <w:style w:type="paragraph" w:customStyle="1" w:styleId="59">
    <w:name w:val="正文文本缩进1"/>
    <w:basedOn w:val="1"/>
    <w:link w:val="58"/>
    <w:semiHidden/>
    <w:qFormat/>
    <w:uiPriority w:val="98"/>
    <w:pPr>
      <w:spacing w:after="120"/>
      <w:ind w:left="420" w:leftChars="200"/>
    </w:pPr>
  </w:style>
  <w:style w:type="paragraph" w:customStyle="1" w:styleId="60">
    <w:name w:val="1"/>
    <w:basedOn w:val="1"/>
    <w:semiHidden/>
    <w:qFormat/>
    <w:uiPriority w:val="98"/>
    <w:pPr>
      <w:widowControl/>
      <w:spacing w:before="100" w:beforeAutospacing="1" w:after="100" w:afterAutospacing="1"/>
      <w:jc w:val="left"/>
    </w:pPr>
    <w:rPr>
      <w:rFonts w:hint="eastAsia" w:ascii="宋体" w:hAnsi="宋体"/>
      <w:kern w:val="0"/>
      <w:sz w:val="24"/>
      <w:szCs w:val="24"/>
    </w:rPr>
  </w:style>
  <w:style w:type="paragraph" w:customStyle="1" w:styleId="61">
    <w:name w:val="2"/>
    <w:basedOn w:val="1"/>
    <w:semiHidden/>
    <w:qFormat/>
    <w:uiPriority w:val="98"/>
    <w:pPr>
      <w:widowControl/>
      <w:spacing w:after="160" w:line="240" w:lineRule="exact"/>
      <w:jc w:val="left"/>
    </w:pPr>
    <w:rPr>
      <w:rFonts w:ascii="Arial" w:hAnsi="Arial" w:eastAsia="Times New Roman" w:cs="Verdana"/>
      <w:b/>
      <w:kern w:val="0"/>
      <w:sz w:val="24"/>
      <w:szCs w:val="24"/>
      <w:lang w:eastAsia="en-US" w:bidi="th-TH"/>
    </w:rPr>
  </w:style>
  <w:style w:type="paragraph" w:customStyle="1" w:styleId="62">
    <w:name w:val="Char Char Char Char Char Char1 Char"/>
    <w:basedOn w:val="1"/>
    <w:semiHidden/>
    <w:qFormat/>
    <w:uiPriority w:val="98"/>
    <w:pPr>
      <w:widowControl/>
      <w:spacing w:after="160" w:line="240" w:lineRule="exact"/>
      <w:jc w:val="left"/>
    </w:pPr>
    <w:rPr>
      <w:rFonts w:ascii="Arial" w:hAnsi="Arial" w:eastAsia="Times New Roman" w:cs="Verdana"/>
      <w:b/>
      <w:kern w:val="0"/>
      <w:sz w:val="24"/>
      <w:szCs w:val="24"/>
      <w:lang w:eastAsia="en-US" w:bidi="th-TH"/>
    </w:rPr>
  </w:style>
  <w:style w:type="paragraph" w:styleId="63">
    <w:name w:val="List Paragraph"/>
    <w:basedOn w:val="1"/>
    <w:qFormat/>
    <w:uiPriority w:val="34"/>
    <w:pPr>
      <w:ind w:firstLine="420" w:firstLineChars="200"/>
    </w:pPr>
    <w:rPr>
      <w:rFonts w:ascii="Calibri" w:hAnsi="Calibri"/>
      <w:szCs w:val="22"/>
    </w:rPr>
  </w:style>
  <w:style w:type="paragraph" w:customStyle="1" w:styleId="64">
    <w:name w:val="列出段落1"/>
    <w:basedOn w:val="1"/>
    <w:semiHidden/>
    <w:qFormat/>
    <w:uiPriority w:val="98"/>
    <w:pPr>
      <w:ind w:firstLine="420" w:firstLineChars="200"/>
    </w:pPr>
    <w:rPr>
      <w:rFonts w:ascii="Calibri" w:hAnsi="Calibri"/>
      <w:szCs w:val="22"/>
    </w:rPr>
  </w:style>
  <w:style w:type="paragraph" w:customStyle="1" w:styleId="65">
    <w:name w:val="二级列表 Char"/>
    <w:basedOn w:val="1"/>
    <w:semiHidden/>
    <w:qFormat/>
    <w:uiPriority w:val="98"/>
    <w:rPr>
      <w:rFonts w:ascii="Calibri" w:hAnsi="Calibri"/>
    </w:rPr>
  </w:style>
  <w:style w:type="character" w:customStyle="1" w:styleId="66">
    <w:name w:val="style61"/>
    <w:semiHidden/>
    <w:qFormat/>
    <w:uiPriority w:val="98"/>
  </w:style>
  <w:style w:type="character" w:customStyle="1" w:styleId="67">
    <w:name w:val="标题 1 字符"/>
    <w:basedOn w:val="33"/>
    <w:link w:val="4"/>
    <w:semiHidden/>
    <w:qFormat/>
    <w:uiPriority w:val="0"/>
    <w:rPr>
      <w:b/>
      <w:bCs/>
      <w:kern w:val="44"/>
      <w:sz w:val="44"/>
      <w:szCs w:val="44"/>
    </w:rPr>
  </w:style>
  <w:style w:type="paragraph" w:customStyle="1" w:styleId="68">
    <w:name w:val="TOC 标题1"/>
    <w:basedOn w:val="4"/>
    <w:next w:val="1"/>
    <w:semiHidden/>
    <w:qFormat/>
    <w:uiPriority w:val="39"/>
    <w:pPr>
      <w:widowControl/>
      <w:spacing w:before="240" w:after="0" w:line="259" w:lineRule="auto"/>
      <w:jc w:val="left"/>
      <w:outlineLvl w:val="9"/>
    </w:pPr>
    <w:rPr>
      <w:rFonts w:asciiTheme="majorHAnsi" w:hAnsiTheme="majorHAnsi" w:eastAsiaTheme="majorEastAsia" w:cstheme="majorBidi"/>
      <w:b w:val="0"/>
      <w:bCs w:val="0"/>
      <w:color w:val="2E75B6" w:themeColor="accent1" w:themeShade="BF"/>
      <w:kern w:val="0"/>
      <w:sz w:val="32"/>
      <w:szCs w:val="32"/>
    </w:rPr>
  </w:style>
  <w:style w:type="character" w:customStyle="1" w:styleId="69">
    <w:name w:val="标题 2 字符"/>
    <w:basedOn w:val="33"/>
    <w:semiHidden/>
    <w:qFormat/>
    <w:uiPriority w:val="0"/>
    <w:rPr>
      <w:rFonts w:asciiTheme="majorHAnsi" w:hAnsiTheme="majorHAnsi" w:eastAsiaTheme="majorEastAsia" w:cstheme="majorBidi"/>
      <w:b/>
      <w:bCs/>
      <w:kern w:val="2"/>
      <w:sz w:val="32"/>
      <w:szCs w:val="32"/>
    </w:rPr>
  </w:style>
  <w:style w:type="character" w:customStyle="1" w:styleId="70">
    <w:name w:val="标题 字符"/>
    <w:basedOn w:val="33"/>
    <w:link w:val="28"/>
    <w:semiHidden/>
    <w:qFormat/>
    <w:uiPriority w:val="0"/>
    <w:rPr>
      <w:rFonts w:eastAsia="黑体" w:asciiTheme="majorHAnsi" w:hAnsiTheme="majorHAnsi" w:cstheme="majorBidi"/>
      <w:b/>
      <w:bCs/>
      <w:kern w:val="2"/>
      <w:sz w:val="36"/>
      <w:szCs w:val="32"/>
    </w:rPr>
  </w:style>
  <w:style w:type="paragraph" w:customStyle="1" w:styleId="71">
    <w:name w:val="章节"/>
    <w:basedOn w:val="15"/>
    <w:qFormat/>
    <w:uiPriority w:val="0"/>
    <w:pPr>
      <w:spacing w:line="360" w:lineRule="auto"/>
      <w:jc w:val="center"/>
      <w:outlineLvl w:val="0"/>
    </w:pPr>
    <w:rPr>
      <w:rFonts w:ascii="黑体" w:eastAsia="黑体"/>
      <w:b/>
      <w:bCs/>
      <w:sz w:val="36"/>
      <w:szCs w:val="36"/>
    </w:rPr>
  </w:style>
  <w:style w:type="paragraph" w:customStyle="1" w:styleId="72">
    <w:name w:val="一级标题"/>
    <w:basedOn w:val="15"/>
    <w:qFormat/>
    <w:uiPriority w:val="1"/>
    <w:pPr>
      <w:numPr>
        <w:ilvl w:val="0"/>
        <w:numId w:val="2"/>
      </w:numPr>
      <w:spacing w:line="360" w:lineRule="auto"/>
      <w:ind w:left="420"/>
      <w:outlineLvl w:val="1"/>
    </w:pPr>
    <w:rPr>
      <w:rFonts w:ascii="黑体" w:eastAsia="黑体"/>
      <w:b/>
      <w:bCs/>
      <w:sz w:val="28"/>
    </w:rPr>
  </w:style>
  <w:style w:type="paragraph" w:customStyle="1" w:styleId="73">
    <w:name w:val="（二）级标题"/>
    <w:basedOn w:val="15"/>
    <w:qFormat/>
    <w:uiPriority w:val="2"/>
    <w:pPr>
      <w:numPr>
        <w:ilvl w:val="0"/>
        <w:numId w:val="3"/>
      </w:numPr>
      <w:spacing w:line="360" w:lineRule="auto"/>
      <w:outlineLvl w:val="2"/>
    </w:pPr>
    <w:rPr>
      <w:b/>
    </w:rPr>
  </w:style>
  <w:style w:type="paragraph" w:customStyle="1" w:styleId="74">
    <w:name w:val="3级标题"/>
    <w:basedOn w:val="15"/>
    <w:link w:val="102"/>
    <w:qFormat/>
    <w:uiPriority w:val="3"/>
    <w:pPr>
      <w:numPr>
        <w:ilvl w:val="0"/>
        <w:numId w:val="4"/>
      </w:numPr>
      <w:spacing w:line="360" w:lineRule="auto"/>
      <w:outlineLvl w:val="3"/>
    </w:pPr>
    <w:rPr>
      <w:b/>
    </w:rPr>
  </w:style>
  <w:style w:type="paragraph" w:customStyle="1" w:styleId="75">
    <w:name w:val="（4）级标题"/>
    <w:basedOn w:val="15"/>
    <w:qFormat/>
    <w:uiPriority w:val="8"/>
    <w:pPr>
      <w:numPr>
        <w:ilvl w:val="0"/>
        <w:numId w:val="5"/>
      </w:numPr>
      <w:spacing w:line="360" w:lineRule="auto"/>
      <w:outlineLvl w:val="4"/>
    </w:pPr>
  </w:style>
  <w:style w:type="paragraph" w:customStyle="1" w:styleId="76">
    <w:name w:val="标书正文"/>
    <w:basedOn w:val="15"/>
    <w:link w:val="97"/>
    <w:qFormat/>
    <w:uiPriority w:val="9"/>
    <w:pPr>
      <w:spacing w:line="360" w:lineRule="auto"/>
      <w:jc w:val="left"/>
    </w:pPr>
  </w:style>
  <w:style w:type="character" w:customStyle="1" w:styleId="77">
    <w:name w:val="标题 4 字符"/>
    <w:basedOn w:val="33"/>
    <w:link w:val="7"/>
    <w:semiHidden/>
    <w:qFormat/>
    <w:uiPriority w:val="0"/>
    <w:rPr>
      <w:rFonts w:ascii="Arial" w:hAnsi="Arial"/>
      <w:b/>
      <w:bCs/>
      <w:kern w:val="2"/>
      <w:sz w:val="21"/>
      <w:szCs w:val="28"/>
    </w:rPr>
  </w:style>
  <w:style w:type="character" w:customStyle="1" w:styleId="78">
    <w:name w:val="标题 5 字符"/>
    <w:basedOn w:val="33"/>
    <w:link w:val="8"/>
    <w:semiHidden/>
    <w:qFormat/>
    <w:uiPriority w:val="0"/>
    <w:rPr>
      <w:rFonts w:ascii="宋体" w:hAnsi="宋体"/>
      <w:bCs/>
      <w:iCs/>
      <w:color w:val="000000"/>
      <w:sz w:val="28"/>
      <w:szCs w:val="28"/>
    </w:rPr>
  </w:style>
  <w:style w:type="paragraph" w:customStyle="1" w:styleId="79">
    <w:name w:val="3"/>
    <w:qFormat/>
    <w:uiPriority w:val="0"/>
    <w:pPr>
      <w:widowControl w:val="0"/>
      <w:jc w:val="both"/>
    </w:pPr>
    <w:rPr>
      <w:rFonts w:ascii="Times New Roman" w:hAnsi="Times New Roman" w:eastAsia="宋体" w:cs="Times New Roman"/>
      <w:kern w:val="2"/>
      <w:sz w:val="21"/>
      <w:lang w:val="en-US" w:eastAsia="zh-CN" w:bidi="ar-SA"/>
    </w:rPr>
  </w:style>
  <w:style w:type="character" w:customStyle="1" w:styleId="80">
    <w:name w:val="case31"/>
    <w:qFormat/>
    <w:uiPriority w:val="0"/>
    <w:rPr>
      <w:rFonts w:hint="default" w:ascii="ˎ̥" w:hAnsi="ˎ̥"/>
      <w:sz w:val="21"/>
      <w:szCs w:val="21"/>
    </w:rPr>
  </w:style>
  <w:style w:type="character" w:customStyle="1" w:styleId="81">
    <w:name w:val="标题 2 字符1"/>
    <w:link w:val="5"/>
    <w:qFormat/>
    <w:uiPriority w:val="0"/>
    <w:rPr>
      <w:rFonts w:ascii="宋体" w:hAnsi="宋体"/>
      <w:bCs/>
      <w:sz w:val="24"/>
      <w:szCs w:val="32"/>
    </w:rPr>
  </w:style>
  <w:style w:type="character" w:customStyle="1" w:styleId="82">
    <w:name w:val="标题 Char"/>
    <w:qFormat/>
    <w:uiPriority w:val="0"/>
    <w:rPr>
      <w:rFonts w:ascii="宋体" w:hAnsi="宋体" w:cs="Times New Roman"/>
      <w:b/>
      <w:bCs/>
      <w:sz w:val="24"/>
      <w:szCs w:val="32"/>
    </w:rPr>
  </w:style>
  <w:style w:type="character" w:customStyle="1" w:styleId="83">
    <w:name w:val="正文文本缩进 3 字符"/>
    <w:basedOn w:val="33"/>
    <w:link w:val="23"/>
    <w:semiHidden/>
    <w:qFormat/>
    <w:uiPriority w:val="0"/>
    <w:rPr>
      <w:rFonts w:ascii="宋体" w:hAnsi="宋体"/>
      <w:color w:val="FF0000"/>
      <w:kern w:val="2"/>
      <w:sz w:val="24"/>
      <w:szCs w:val="24"/>
    </w:rPr>
  </w:style>
  <w:style w:type="paragraph" w:customStyle="1" w:styleId="84">
    <w:name w:val="_Style 4"/>
    <w:basedOn w:val="4"/>
    <w:next w:val="1"/>
    <w:semiHidden/>
    <w:qFormat/>
    <w:uiPriority w:val="39"/>
    <w:pPr>
      <w:keepLines w:val="0"/>
      <w:widowControl/>
      <w:tabs>
        <w:tab w:val="left" w:pos="2400"/>
      </w:tabs>
      <w:spacing w:before="480" w:after="0" w:line="276" w:lineRule="auto"/>
      <w:ind w:left="2400" w:right="206" w:rightChars="98" w:hanging="720"/>
      <w:jc w:val="left"/>
      <w:outlineLvl w:val="9"/>
    </w:pPr>
    <w:rPr>
      <w:rFonts w:ascii="Cambria" w:hAnsi="Cambria"/>
      <w:color w:val="365F91"/>
      <w:kern w:val="0"/>
      <w:sz w:val="28"/>
      <w:szCs w:val="28"/>
    </w:rPr>
  </w:style>
  <w:style w:type="paragraph" w:customStyle="1" w:styleId="85">
    <w:name w:val="Char Char Char Char Char Char Char"/>
    <w:basedOn w:val="1"/>
    <w:qFormat/>
    <w:uiPriority w:val="0"/>
    <w:pPr>
      <w:widowControl/>
      <w:snapToGrid w:val="0"/>
      <w:spacing w:after="160" w:line="360" w:lineRule="auto"/>
      <w:jc w:val="left"/>
    </w:pPr>
    <w:rPr>
      <w:kern w:val="0"/>
      <w:sz w:val="24"/>
      <w:szCs w:val="24"/>
      <w:lang w:eastAsia="en-US"/>
    </w:rPr>
  </w:style>
  <w:style w:type="character" w:customStyle="1" w:styleId="86">
    <w:name w:val="正文文本缩进 2 字符"/>
    <w:basedOn w:val="33"/>
    <w:link w:val="17"/>
    <w:semiHidden/>
    <w:qFormat/>
    <w:uiPriority w:val="0"/>
    <w:rPr>
      <w:sz w:val="24"/>
    </w:rPr>
  </w:style>
  <w:style w:type="character" w:customStyle="1" w:styleId="87">
    <w:name w:val="日期 字符"/>
    <w:basedOn w:val="33"/>
    <w:link w:val="16"/>
    <w:semiHidden/>
    <w:qFormat/>
    <w:uiPriority w:val="0"/>
    <w:rPr>
      <w:sz w:val="24"/>
    </w:rPr>
  </w:style>
  <w:style w:type="paragraph" w:customStyle="1" w:styleId="88">
    <w:name w:val="Char1 Char Char Char Char Char Char"/>
    <w:basedOn w:val="1"/>
    <w:qFormat/>
    <w:uiPriority w:val="0"/>
    <w:rPr>
      <w:rFonts w:ascii="Tahoma" w:hAnsi="Tahoma"/>
      <w:sz w:val="24"/>
    </w:rPr>
  </w:style>
  <w:style w:type="paragraph" w:customStyle="1" w:styleId="89">
    <w:name w:val="样式1"/>
    <w:basedOn w:val="1"/>
    <w:qFormat/>
    <w:uiPriority w:val="0"/>
    <w:pPr>
      <w:adjustRightInd w:val="0"/>
      <w:spacing w:line="420" w:lineRule="auto"/>
      <w:jc w:val="center"/>
      <w:textAlignment w:val="baseline"/>
    </w:pPr>
    <w:rPr>
      <w:rFonts w:ascii="宋体"/>
      <w:kern w:val="0"/>
      <w:sz w:val="24"/>
    </w:rPr>
  </w:style>
  <w:style w:type="paragraph" w:customStyle="1" w:styleId="90">
    <w:name w:val="case3"/>
    <w:basedOn w:val="1"/>
    <w:qFormat/>
    <w:uiPriority w:val="0"/>
    <w:pPr>
      <w:widowControl/>
      <w:spacing w:before="100" w:beforeAutospacing="1" w:after="100" w:afterAutospacing="1" w:line="390" w:lineRule="atLeast"/>
      <w:jc w:val="left"/>
    </w:pPr>
    <w:rPr>
      <w:rFonts w:ascii="ˎ̥" w:hAnsi="ˎ̥" w:cs="宋体"/>
      <w:color w:val="000000"/>
      <w:kern w:val="0"/>
      <w:szCs w:val="21"/>
    </w:rPr>
  </w:style>
  <w:style w:type="paragraph" w:customStyle="1" w:styleId="91">
    <w:name w:val="general normal"/>
    <w:basedOn w:val="1"/>
    <w:qFormat/>
    <w:uiPriority w:val="0"/>
    <w:pPr>
      <w:widowControl/>
      <w:numPr>
        <w:ilvl w:val="0"/>
        <w:numId w:val="6"/>
      </w:numPr>
      <w:spacing w:before="120" w:after="120" w:line="360" w:lineRule="auto"/>
    </w:pPr>
    <w:rPr>
      <w:rFonts w:ascii="Arial" w:hAnsi="Arial"/>
      <w:kern w:val="0"/>
      <w:sz w:val="24"/>
      <w:szCs w:val="24"/>
    </w:rPr>
  </w:style>
  <w:style w:type="character" w:customStyle="1" w:styleId="92">
    <w:name w:val="文档结构图 字符"/>
    <w:basedOn w:val="33"/>
    <w:semiHidden/>
    <w:qFormat/>
    <w:uiPriority w:val="98"/>
    <w:rPr>
      <w:rFonts w:ascii="Microsoft YaHei UI" w:eastAsia="Microsoft YaHei UI"/>
      <w:kern w:val="2"/>
      <w:sz w:val="18"/>
      <w:szCs w:val="18"/>
    </w:rPr>
  </w:style>
  <w:style w:type="character" w:customStyle="1" w:styleId="93">
    <w:name w:val="文档结构图 字符1"/>
    <w:basedOn w:val="33"/>
    <w:link w:val="11"/>
    <w:semiHidden/>
    <w:qFormat/>
    <w:uiPriority w:val="0"/>
    <w:rPr>
      <w:rFonts w:ascii="宋体"/>
      <w:sz w:val="18"/>
      <w:szCs w:val="18"/>
    </w:rPr>
  </w:style>
  <w:style w:type="paragraph" w:customStyle="1" w:styleId="94">
    <w:name w:val="表格"/>
    <w:basedOn w:val="1"/>
    <w:link w:val="95"/>
    <w:qFormat/>
    <w:uiPriority w:val="10"/>
    <w:rPr>
      <w:rFonts w:ascii="宋体" w:hAnsi="宋体"/>
      <w:szCs w:val="30"/>
    </w:rPr>
  </w:style>
  <w:style w:type="character" w:customStyle="1" w:styleId="95">
    <w:name w:val="表格 字符"/>
    <w:basedOn w:val="33"/>
    <w:link w:val="94"/>
    <w:qFormat/>
    <w:uiPriority w:val="10"/>
    <w:rPr>
      <w:rFonts w:ascii="宋体" w:hAnsi="宋体"/>
      <w:kern w:val="2"/>
      <w:sz w:val="21"/>
      <w:szCs w:val="30"/>
    </w:rPr>
  </w:style>
  <w:style w:type="paragraph" w:customStyle="1" w:styleId="96">
    <w:name w:val="5）级标题"/>
    <w:basedOn w:val="76"/>
    <w:link w:val="98"/>
    <w:qFormat/>
    <w:uiPriority w:val="11"/>
    <w:pPr>
      <w:numPr>
        <w:ilvl w:val="0"/>
        <w:numId w:val="7"/>
      </w:numPr>
      <w:ind w:firstLine="0"/>
    </w:pPr>
  </w:style>
  <w:style w:type="character" w:customStyle="1" w:styleId="97">
    <w:name w:val="标书正文 字符"/>
    <w:basedOn w:val="51"/>
    <w:link w:val="76"/>
    <w:qFormat/>
    <w:uiPriority w:val="9"/>
    <w:rPr>
      <w:rFonts w:ascii="宋体" w:hAnsi="Courier New"/>
      <w:kern w:val="2"/>
      <w:sz w:val="21"/>
    </w:rPr>
  </w:style>
  <w:style w:type="character" w:customStyle="1" w:styleId="98">
    <w:name w:val="5）级标题 字符"/>
    <w:basedOn w:val="97"/>
    <w:link w:val="96"/>
    <w:qFormat/>
    <w:uiPriority w:val="11"/>
    <w:rPr>
      <w:rFonts w:ascii="宋体" w:hAnsi="Courier New"/>
      <w:kern w:val="2"/>
      <w:sz w:val="21"/>
    </w:rPr>
  </w:style>
  <w:style w:type="paragraph" w:customStyle="1" w:styleId="99">
    <w:name w:val="样式 标题 4 + 段前: 5 磅 段后: 5 磅 行距: 单倍行距"/>
    <w:next w:val="24"/>
    <w:qFormat/>
    <w:uiPriority w:val="0"/>
    <w:pPr>
      <w:keepNext/>
      <w:keepLines/>
      <w:widowControl w:val="0"/>
      <w:tabs>
        <w:tab w:val="left" w:pos="780"/>
        <w:tab w:val="left" w:pos="1680"/>
      </w:tabs>
      <w:adjustRightInd w:val="0"/>
      <w:spacing w:before="100" w:after="100" w:line="372" w:lineRule="auto"/>
      <w:ind w:left="400" w:leftChars="200" w:hanging="200" w:hangingChars="200"/>
      <w:outlineLvl w:val="3"/>
    </w:pPr>
    <w:rPr>
      <w:rFonts w:ascii="Arial" w:hAnsi="Arial" w:eastAsia="黑体" w:cs="Times New Roman"/>
      <w:b/>
      <w:sz w:val="28"/>
      <w:lang w:val="en-US" w:eastAsia="zh-CN" w:bidi="ar-SA"/>
    </w:rPr>
  </w:style>
  <w:style w:type="character" w:customStyle="1" w:styleId="100">
    <w:name w:val="不明显强调1"/>
    <w:basedOn w:val="33"/>
    <w:qFormat/>
    <w:uiPriority w:val="19"/>
    <w:rPr>
      <w:rFonts w:eastAsia="宋体"/>
      <w:i/>
      <w:iCs/>
      <w:color w:val="auto"/>
      <w:sz w:val="21"/>
    </w:rPr>
  </w:style>
  <w:style w:type="paragraph" w:customStyle="1" w:styleId="101">
    <w:name w:val="⑥级标题"/>
    <w:basedOn w:val="74"/>
    <w:link w:val="103"/>
    <w:qFormat/>
    <w:uiPriority w:val="12"/>
    <w:pPr>
      <w:numPr>
        <w:numId w:val="8"/>
      </w:numPr>
    </w:pPr>
  </w:style>
  <w:style w:type="character" w:customStyle="1" w:styleId="102">
    <w:name w:val="3级标题 字符"/>
    <w:basedOn w:val="51"/>
    <w:link w:val="74"/>
    <w:qFormat/>
    <w:uiPriority w:val="3"/>
    <w:rPr>
      <w:rFonts w:ascii="宋体" w:hAnsi="Courier New"/>
      <w:b/>
      <w:kern w:val="2"/>
      <w:sz w:val="21"/>
    </w:rPr>
  </w:style>
  <w:style w:type="character" w:customStyle="1" w:styleId="103">
    <w:name w:val="⑥级标题 字符"/>
    <w:basedOn w:val="102"/>
    <w:link w:val="101"/>
    <w:qFormat/>
    <w:uiPriority w:val="12"/>
    <w:rPr>
      <w:rFonts w:ascii="宋体" w:hAnsi="Courier New"/>
      <w:kern w:val="2"/>
      <w:sz w:val="21"/>
    </w:rPr>
  </w:style>
  <w:style w:type="character" w:customStyle="1" w:styleId="104">
    <w:name w:val="电子邮件签名 字符"/>
    <w:link w:val="9"/>
    <w:semiHidden/>
    <w:qFormat/>
    <w:locked/>
    <w:uiPriority w:val="99"/>
    <w:rPr>
      <w:sz w:val="21"/>
      <w:szCs w:val="21"/>
    </w:rPr>
  </w:style>
  <w:style w:type="character" w:customStyle="1" w:styleId="105">
    <w:name w:val="电子邮件签名 字符1"/>
    <w:basedOn w:val="33"/>
    <w:semiHidden/>
    <w:qFormat/>
    <w:uiPriority w:val="98"/>
    <w:rPr>
      <w:rFonts w:ascii="Times New Roman" w:hAnsi="Times New Roman"/>
      <w:kern w:val="2"/>
      <w:sz w:val="21"/>
    </w:rPr>
  </w:style>
  <w:style w:type="character" w:customStyle="1" w:styleId="106">
    <w:name w:val="HR正文 Char"/>
    <w:link w:val="107"/>
    <w:qFormat/>
    <w:uiPriority w:val="0"/>
    <w:rPr>
      <w:kern w:val="2"/>
      <w:sz w:val="24"/>
      <w:szCs w:val="24"/>
    </w:rPr>
  </w:style>
  <w:style w:type="paragraph" w:customStyle="1" w:styleId="107">
    <w:name w:val="HR正文"/>
    <w:basedOn w:val="1"/>
    <w:link w:val="106"/>
    <w:qFormat/>
    <w:uiPriority w:val="0"/>
    <w:pPr>
      <w:spacing w:line="300" w:lineRule="auto"/>
      <w:ind w:firstLine="200" w:firstLineChars="200"/>
    </w:pPr>
    <w:rPr>
      <w:rFonts w:ascii="Calibri" w:hAnsi="Calibri"/>
      <w:sz w:val="24"/>
      <w:szCs w:val="24"/>
    </w:rPr>
  </w:style>
  <w:style w:type="character" w:customStyle="1" w:styleId="108">
    <w:name w:val="信息标题 字符"/>
    <w:link w:val="26"/>
    <w:semiHidden/>
    <w:qFormat/>
    <w:locked/>
    <w:uiPriority w:val="99"/>
    <w:rPr>
      <w:rFonts w:ascii="Cambria" w:hAnsi="Cambria" w:cs="Cambria"/>
      <w:sz w:val="24"/>
      <w:szCs w:val="24"/>
      <w:shd w:val="pct20" w:color="auto" w:fill="auto"/>
    </w:rPr>
  </w:style>
  <w:style w:type="character" w:customStyle="1" w:styleId="109">
    <w:name w:val="信息标题 字符1"/>
    <w:basedOn w:val="33"/>
    <w:semiHidden/>
    <w:qFormat/>
    <w:uiPriority w:val="98"/>
    <w:rPr>
      <w:rFonts w:asciiTheme="majorHAnsi" w:hAnsiTheme="majorHAnsi" w:eastAsiaTheme="majorEastAsia" w:cstheme="majorBidi"/>
      <w:kern w:val="2"/>
      <w:sz w:val="24"/>
      <w:szCs w:val="24"/>
      <w:shd w:val="pct20" w:color="auto" w:fill="auto"/>
    </w:rPr>
  </w:style>
  <w:style w:type="character" w:customStyle="1" w:styleId="110">
    <w:name w:val="页眉 Char1"/>
    <w:semiHidden/>
    <w:qFormat/>
    <w:locked/>
    <w:uiPriority w:val="0"/>
    <w:rPr>
      <w:rFonts w:ascii="Calibri" w:hAnsi="Calibri"/>
      <w:sz w:val="18"/>
      <w:szCs w:val="18"/>
    </w:rPr>
  </w:style>
  <w:style w:type="character" w:customStyle="1" w:styleId="111">
    <w:name w:val="标题 3 字符1"/>
    <w:link w:val="6"/>
    <w:qFormat/>
    <w:uiPriority w:val="0"/>
    <w:rPr>
      <w:b/>
      <w:sz w:val="32"/>
    </w:rPr>
  </w:style>
  <w:style w:type="paragraph" w:customStyle="1" w:styleId="112">
    <w:name w:val="Table Paragraph"/>
    <w:basedOn w:val="1"/>
    <w:qFormat/>
    <w:uiPriority w:val="1"/>
    <w:rPr>
      <w:rFonts w:ascii="宋体" w:hAnsi="宋体" w:cs="宋体"/>
    </w:rPr>
  </w:style>
  <w:style w:type="table" w:customStyle="1" w:styleId="113">
    <w:name w:val="Table Normal"/>
    <w:qFormat/>
    <w:uiPriority w:val="0"/>
    <w:tblPr>
      <w:tblCellMar>
        <w:top w:w="0" w:type="dxa"/>
        <w:left w:w="0" w:type="dxa"/>
        <w:bottom w:w="0" w:type="dxa"/>
        <w:right w:w="0" w:type="dxa"/>
      </w:tblCellMar>
    </w:tblPr>
  </w:style>
  <w:style w:type="paragraph" w:styleId="114">
    <w:name w:val="No Spacing"/>
    <w:qFormat/>
    <w:uiPriority w:val="1"/>
    <w:pPr>
      <w:widowControl w:val="0"/>
      <w:jc w:val="both"/>
    </w:pPr>
    <w:rPr>
      <w:rFonts w:ascii="Times New Roman" w:hAnsi="Times New Roman" w:eastAsia="宋体" w:cs="Times New Roman"/>
      <w:kern w:val="2"/>
      <w:sz w:val="21"/>
      <w:szCs w:val="24"/>
      <w:lang w:val="en-US" w:eastAsia="zh-CN" w:bidi="ar-SA"/>
    </w:rPr>
  </w:style>
  <w:style w:type="character" w:customStyle="1" w:styleId="115">
    <w:name w:val="font31"/>
    <w:basedOn w:val="33"/>
    <w:qFormat/>
    <w:uiPriority w:val="0"/>
    <w:rPr>
      <w:rFonts w:hint="eastAsia" w:ascii="宋体" w:hAnsi="宋体" w:eastAsia="宋体" w:cs="宋体"/>
      <w:color w:val="0F1115"/>
      <w:sz w:val="22"/>
      <w:szCs w:val="22"/>
      <w:u w:val="none"/>
    </w:rPr>
  </w:style>
  <w:style w:type="character" w:customStyle="1" w:styleId="116">
    <w:name w:val="font21"/>
    <w:basedOn w:val="33"/>
    <w:qFormat/>
    <w:uiPriority w:val="0"/>
    <w:rPr>
      <w:rFonts w:ascii="Segoe UI" w:hAnsi="Segoe UI" w:eastAsia="Segoe UI" w:cs="Segoe UI"/>
      <w:color w:val="0F1115"/>
      <w:sz w:val="22"/>
      <w:szCs w:val="22"/>
      <w:u w:val="none"/>
    </w:rPr>
  </w:style>
  <w:style w:type="paragraph" w:customStyle="1" w:styleId="117">
    <w:name w:val="一级条标题"/>
    <w:basedOn w:val="118"/>
    <w:next w:val="119"/>
    <w:qFormat/>
    <w:uiPriority w:val="0"/>
    <w:pPr>
      <w:ind w:hanging="840"/>
      <w:outlineLvl w:val="1"/>
    </w:pPr>
  </w:style>
  <w:style w:type="paragraph" w:customStyle="1" w:styleId="118">
    <w:name w:val="章标题"/>
    <w:next w:val="1"/>
    <w:qFormat/>
    <w:uiPriority w:val="0"/>
    <w:pPr>
      <w:spacing w:before="156" w:beforeLines="50" w:after="156" w:afterLines="50"/>
      <w:jc w:val="both"/>
      <w:outlineLvl w:val="1"/>
    </w:pPr>
    <w:rPr>
      <w:rFonts w:ascii="黑体" w:hAnsi="Times New Roman" w:eastAsia="黑体" w:cs="Times New Roman"/>
      <w:sz w:val="24"/>
      <w:lang w:val="en-US" w:eastAsia="zh-CN" w:bidi="ar-SA"/>
    </w:rPr>
  </w:style>
  <w:style w:type="paragraph" w:customStyle="1" w:styleId="119">
    <w:name w:val="段"/>
    <w:next w:val="1"/>
    <w:qFormat/>
    <w:uiPriority w:val="0"/>
    <w:pPr>
      <w:autoSpaceDE w:val="0"/>
      <w:autoSpaceDN w:val="0"/>
      <w:ind w:firstLine="200" w:firstLineChars="200"/>
      <w:jc w:val="both"/>
    </w:pPr>
    <w:rPr>
      <w:rFonts w:ascii="??" w:hAnsi="??" w:eastAsia="??" w:cs="宋体"/>
      <w:color w:val="000000"/>
      <w:szCs w:val="28"/>
      <w:lang w:val="en-US" w:eastAsia="zh-CN" w:bidi="ar-SA"/>
    </w:rPr>
  </w:style>
  <w:style w:type="character" w:customStyle="1" w:styleId="120">
    <w:name w:val="font11"/>
    <w:basedOn w:val="33"/>
    <w:qFormat/>
    <w:uiPriority w:val="0"/>
    <w:rPr>
      <w:rFonts w:hint="eastAsia" w:ascii="宋体" w:hAnsi="宋体" w:eastAsia="宋体" w:cs="宋体"/>
      <w:color w:val="0F1115"/>
      <w:sz w:val="22"/>
      <w:szCs w:val="22"/>
      <w:u w:val="none"/>
    </w:rPr>
  </w:style>
</w:styles>
</file>

<file path=word/_rels/document.xml.rels><?xml version="1.0" encoding="UTF-8" standalone="yes"?>
<Relationships xmlns="http://schemas.openxmlformats.org/package/2006/relationships"><Relationship Id="rId9" Type="http://schemas.openxmlformats.org/officeDocument/2006/relationships/header" Target="header2.xml"/><Relationship Id="rId8" Type="http://schemas.openxmlformats.org/officeDocument/2006/relationships/footer" Target="footer5.xml"/><Relationship Id="rId7" Type="http://schemas.openxmlformats.org/officeDocument/2006/relationships/footer" Target="footer4.xml"/><Relationship Id="rId6" Type="http://schemas.openxmlformats.org/officeDocument/2006/relationships/footer" Target="footer3.xml"/><Relationship Id="rId5" Type="http://schemas.openxmlformats.org/officeDocument/2006/relationships/footer" Target="footer2.xml"/><Relationship Id="rId4" Type="http://schemas.openxmlformats.org/officeDocument/2006/relationships/footer" Target="footer1.xml"/><Relationship Id="rId3" Type="http://schemas.openxmlformats.org/officeDocument/2006/relationships/header" Target="header1.xml"/><Relationship Id="rId27" Type="http://schemas.openxmlformats.org/officeDocument/2006/relationships/fontTable" Target="fontTable.xml"/><Relationship Id="rId26" Type="http://schemas.openxmlformats.org/officeDocument/2006/relationships/numbering" Target="numbering.xml"/><Relationship Id="rId25" Type="http://schemas.openxmlformats.org/officeDocument/2006/relationships/image" Target="media/image13.png"/><Relationship Id="rId24" Type="http://schemas.openxmlformats.org/officeDocument/2006/relationships/image" Target="media/image12.png"/><Relationship Id="rId23" Type="http://schemas.openxmlformats.org/officeDocument/2006/relationships/image" Target="media/image11.png"/><Relationship Id="rId22" Type="http://schemas.openxmlformats.org/officeDocument/2006/relationships/image" Target="media/image10.png"/><Relationship Id="rId21" Type="http://schemas.openxmlformats.org/officeDocument/2006/relationships/image" Target="media/image9.png"/><Relationship Id="rId20" Type="http://schemas.openxmlformats.org/officeDocument/2006/relationships/image" Target="media/image8.png"/><Relationship Id="rId2" Type="http://schemas.openxmlformats.org/officeDocument/2006/relationships/settings" Target="settings.xml"/><Relationship Id="rId19" Type="http://schemas.openxmlformats.org/officeDocument/2006/relationships/image" Target="media/image7.png"/><Relationship Id="rId18" Type="http://schemas.openxmlformats.org/officeDocument/2006/relationships/image" Target="media/image6.png"/><Relationship Id="rId17" Type="http://schemas.openxmlformats.org/officeDocument/2006/relationships/image" Target="media/image5.png"/><Relationship Id="rId16" Type="http://schemas.openxmlformats.org/officeDocument/2006/relationships/image" Target="media/image4.png"/><Relationship Id="rId15" Type="http://schemas.openxmlformats.org/officeDocument/2006/relationships/image" Target="media/image3.png"/><Relationship Id="rId14" Type="http://schemas.openxmlformats.org/officeDocument/2006/relationships/image" Target="media/image2.png"/><Relationship Id="rId13" Type="http://schemas.openxmlformats.org/officeDocument/2006/relationships/image" Target="media/image1.jpeg"/><Relationship Id="rId12" Type="http://schemas.openxmlformats.org/officeDocument/2006/relationships/theme" Target="theme/theme1.xml"/><Relationship Id="rId11" Type="http://schemas.openxmlformats.org/officeDocument/2006/relationships/footer" Target="footer7.xml"/><Relationship Id="rId10" Type="http://schemas.openxmlformats.org/officeDocument/2006/relationships/footer" Target="footer6.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Template>
  <Company>Hewlett-Packard Company</Company>
  <Pages>24</Pages>
  <Words>8954</Words>
  <Characters>9461</Characters>
  <Lines>79</Lines>
  <Paragraphs>22</Paragraphs>
  <TotalTime>4</TotalTime>
  <ScaleCrop>false</ScaleCrop>
  <LinksUpToDate>false</LinksUpToDate>
  <CharactersWithSpaces>10663</CharactersWithSpaces>
  <Application>WPS Office_12.1.0.24655_F1E327BC-269C-435d-A152-05C5408002CA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2026-01-23T01:56:00Z</dcterms:created>
  <dc:creator>微软用户</dc:creator>
  <cp:lastModifiedBy>.</cp:lastModifiedBy>
  <cp:lastPrinted>2020-06-28T02:28:00Z</cp:lastPrinted>
  <dcterms:modified xsi:type="dcterms:W3CDTF">2026-06-23T02:50:06Z</dcterms:modified>
  <cp:revision>31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2052-12.1.0.24655</vt:lpwstr>
  </property>
  <property fmtid="{D5CDD505-2E9C-101B-9397-08002B2CF9AE}" pid="3" name="ICV">
    <vt:lpwstr>C0E52DBF9FCB4F07BC67952552803439_13</vt:lpwstr>
  </property>
  <property fmtid="{D5CDD505-2E9C-101B-9397-08002B2CF9AE}" pid="4" name="KSOTemplateDocerSaveRecord">
    <vt:lpwstr>eyJoZGlkIjoiOTVkODMyNDUwYWNmMTIyYzA2NmE2NzU3NzcxYmUzMzMiLCJ1c2VySWQiOiI0NDg2OTIxODkifQ==</vt:lpwstr>
  </property>
</Properties>
</file>